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822B" w14:textId="6FDDC3D6" w:rsidR="00767BF8" w:rsidRPr="00F14CAD" w:rsidRDefault="00767BF8" w:rsidP="00767BF8">
      <w:pPr>
        <w:pStyle w:val="Heading1"/>
      </w:pPr>
      <w:r>
        <w:t xml:space="preserve">Unit plan: </w:t>
      </w:r>
      <w:proofErr w:type="gramStart"/>
      <w:r w:rsidRPr="00AE0A87">
        <w:rPr>
          <w:color w:val="B455A0"/>
        </w:rPr>
        <w:t>Post-school</w:t>
      </w:r>
      <w:proofErr w:type="gramEnd"/>
      <w:r w:rsidRPr="00AE0A87">
        <w:rPr>
          <w:color w:val="B455A0"/>
        </w:rPr>
        <w:t xml:space="preserve"> transitions: </w:t>
      </w:r>
      <w:r w:rsidRPr="00AE0A87">
        <w:rPr>
          <w:color w:val="B455A0"/>
        </w:rPr>
        <w:br/>
      </w:r>
      <w:r w:rsidR="00086AE1">
        <w:rPr>
          <w:color w:val="B455A0"/>
        </w:rPr>
        <w:t>Work</w:t>
      </w:r>
      <w:r w:rsidRPr="00AE0A87">
        <w:rPr>
          <w:color w:val="B455A0"/>
        </w:rPr>
        <w:t>-discovery</w:t>
      </w:r>
    </w:p>
    <w:p w14:paraId="2A427401" w14:textId="0ACECD07" w:rsidR="00767BF8" w:rsidRDefault="00767BF8" w:rsidP="00767BF8">
      <w:pPr>
        <w:pStyle w:val="text-para"/>
      </w:pPr>
      <w:r w:rsidRPr="00C06A31">
        <w:t xml:space="preserve">Each PLAN section will function as your lesson plan. </w:t>
      </w:r>
      <w:r>
        <w:br/>
      </w:r>
      <w:r w:rsidRPr="00C06A31">
        <w:t xml:space="preserve">You will be able to download and print out any student worksheets. </w:t>
      </w:r>
      <w:r>
        <w:br/>
      </w:r>
      <w:r w:rsidRPr="00C06A31">
        <w:t>Each P</w:t>
      </w:r>
      <w:r>
        <w:t>L</w:t>
      </w:r>
      <w:r w:rsidRPr="00C06A31">
        <w:t xml:space="preserve">AN section will include links to the relevant part of the </w:t>
      </w:r>
      <w:hyperlink r:id="rId11" w:history="1">
        <w:proofErr w:type="spellStart"/>
        <w:r w:rsidR="00EF40F4" w:rsidRPr="00AE3E99">
          <w:rPr>
            <w:rStyle w:val="Hyperlink"/>
            <w:i/>
            <w:iCs/>
          </w:rPr>
          <w:t>myW</w:t>
        </w:r>
        <w:r w:rsidR="00EF40F4">
          <w:rPr>
            <w:rStyle w:val="Hyperlink"/>
            <w:i/>
            <w:iCs/>
          </w:rPr>
          <w:t>AY</w:t>
        </w:r>
        <w:proofErr w:type="spellEnd"/>
        <w:r w:rsidR="00EF40F4" w:rsidRPr="00AE3E99">
          <w:rPr>
            <w:rStyle w:val="Hyperlink"/>
            <w:i/>
            <w:iCs/>
          </w:rPr>
          <w:t xml:space="preserve"> Employability</w:t>
        </w:r>
      </w:hyperlink>
      <w:r w:rsidRPr="00C06A31">
        <w:t xml:space="preserve"> </w:t>
      </w:r>
      <w:r>
        <w:t>web</w:t>
      </w:r>
      <w:r w:rsidRPr="00C06A31">
        <w:t>site.</w:t>
      </w:r>
    </w:p>
    <w:p w14:paraId="5D5A0462" w14:textId="13D4ABBD" w:rsidR="00CE0E36" w:rsidRDefault="00CE0E36" w:rsidP="00767BF8">
      <w:pPr>
        <w:pStyle w:val="text-para"/>
      </w:pPr>
      <w:r>
        <w:t xml:space="preserve">For further information on appropriate adjustments to meet the learning needs of your students, see the </w:t>
      </w:r>
      <w:hyperlink r:id="rId12" w:history="1">
        <w:r w:rsidRPr="00CE0E36">
          <w:rPr>
            <w:rStyle w:val="Hyperlink"/>
          </w:rPr>
          <w:t xml:space="preserve">Teacher notes: Teaching to diversity using </w:t>
        </w:r>
        <w:proofErr w:type="spellStart"/>
        <w:r w:rsidRPr="00CE0E36">
          <w:rPr>
            <w:rStyle w:val="Hyperlink"/>
          </w:rPr>
          <w:t>myWAY</w:t>
        </w:r>
        <w:proofErr w:type="spellEnd"/>
        <w:r w:rsidRPr="00CE0E36">
          <w:rPr>
            <w:rStyle w:val="Hyperlink"/>
          </w:rPr>
          <w:t xml:space="preserve"> Educator</w:t>
        </w:r>
      </w:hyperlink>
      <w:r>
        <w:t xml:space="preserve">. </w:t>
      </w:r>
    </w:p>
    <w:p w14:paraId="26FD8C4C" w14:textId="77777777" w:rsidR="00767BF8" w:rsidRPr="00C66520" w:rsidRDefault="00767BF8" w:rsidP="00767BF8">
      <w:pPr>
        <w:pStyle w:val="text-para10pt"/>
      </w:pPr>
    </w:p>
    <w:p w14:paraId="67FC0417" w14:textId="22E43411" w:rsidR="00767BF8" w:rsidRPr="007A5770" w:rsidRDefault="00767BF8" w:rsidP="00767BF8">
      <w:pPr>
        <w:pStyle w:val="subheadingblue"/>
      </w:pPr>
      <w:r w:rsidRPr="007A5770">
        <w:t>L</w:t>
      </w:r>
      <w:r>
        <w:t>earning</w:t>
      </w:r>
      <w:r w:rsidRPr="007A5770">
        <w:t xml:space="preserve"> </w:t>
      </w:r>
      <w:r>
        <w:t xml:space="preserve">objectives </w:t>
      </w:r>
      <w:r w:rsidR="00B26C79">
        <w:t>and</w:t>
      </w:r>
      <w:r>
        <w:t xml:space="preserve"> activities to achieve these</w:t>
      </w:r>
      <w:r w:rsidRPr="007A5770">
        <w:t xml:space="preserve">: </w:t>
      </w:r>
      <w:r w:rsidR="00086AE1">
        <w:rPr>
          <w:color w:val="B455A0" w:themeColor="accent1"/>
        </w:rPr>
        <w:t>Work</w:t>
      </w:r>
      <w:r>
        <w:rPr>
          <w:color w:val="B455A0" w:themeColor="accent1"/>
        </w:rPr>
        <w:t>-discovery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1980"/>
        <w:gridCol w:w="3780"/>
        <w:gridCol w:w="5040"/>
      </w:tblGrid>
      <w:tr w:rsidR="00767BF8" w:rsidRPr="002F4295" w14:paraId="4232966C" w14:textId="77777777" w:rsidTr="00795C91">
        <w:trPr>
          <w:trHeight w:val="227"/>
          <w:tblHeader/>
        </w:trPr>
        <w:tc>
          <w:tcPr>
            <w:tcW w:w="1980" w:type="dxa"/>
            <w:shd w:val="clear" w:color="auto" w:fill="1D1752" w:themeFill="text2"/>
          </w:tcPr>
          <w:p w14:paraId="4A35E74F" w14:textId="77777777" w:rsidR="00767BF8" w:rsidRPr="00C04720" w:rsidDel="007E16EE" w:rsidRDefault="00767BF8" w:rsidP="00C66520">
            <w:pPr>
              <w:pStyle w:val="subheadingblue"/>
              <w:rPr>
                <w:color w:val="FFFFFF" w:themeColor="background1"/>
              </w:rPr>
            </w:pPr>
            <w:r w:rsidRPr="002F4295">
              <w:rPr>
                <w:color w:val="FFFFFF" w:themeColor="background1"/>
              </w:rPr>
              <w:t>Objectives</w:t>
            </w:r>
          </w:p>
        </w:tc>
        <w:tc>
          <w:tcPr>
            <w:tcW w:w="3780" w:type="dxa"/>
            <w:shd w:val="clear" w:color="auto" w:fill="1D1752" w:themeFill="text2"/>
            <w:vAlign w:val="center"/>
          </w:tcPr>
          <w:p w14:paraId="204A4D10" w14:textId="77777777" w:rsidR="00767BF8" w:rsidRDefault="00767BF8" w:rsidP="00C66520">
            <w:pPr>
              <w:pStyle w:val="subheadingblue"/>
              <w:rPr>
                <w:color w:val="FFFFFF" w:themeColor="background1"/>
              </w:rPr>
            </w:pPr>
            <w:r w:rsidRPr="002F4295">
              <w:rPr>
                <w:color w:val="FFFFFF" w:themeColor="background1"/>
              </w:rPr>
              <w:t>Activities</w:t>
            </w:r>
          </w:p>
          <w:p w14:paraId="10F78C55" w14:textId="58E7E15C" w:rsidR="00CF1DD6" w:rsidRPr="00C04720" w:rsidRDefault="00CF1DD6" w:rsidP="00C66520">
            <w:pPr>
              <w:pStyle w:val="subheadingblue"/>
              <w:rPr>
                <w:rFonts w:ascii="Proxima Nova Rg" w:hAnsi="Proxima Nova Rg"/>
                <w:color w:val="FFFFFF" w:themeColor="background1"/>
                <w:sz w:val="18"/>
                <w:szCs w:val="18"/>
              </w:rPr>
            </w:pPr>
            <w:r w:rsidRPr="00C04720">
              <w:rPr>
                <w:rFonts w:ascii="Proxima Nova Rg" w:hAnsi="Proxima Nova Rg"/>
                <w:color w:val="FFFFFF" w:themeColor="background1"/>
                <w:sz w:val="18"/>
                <w:szCs w:val="18"/>
              </w:rPr>
              <w:t>Activity duration are approximate times only</w:t>
            </w:r>
          </w:p>
        </w:tc>
        <w:tc>
          <w:tcPr>
            <w:tcW w:w="5040" w:type="dxa"/>
            <w:shd w:val="clear" w:color="auto" w:fill="1D1752" w:themeFill="text2"/>
            <w:vAlign w:val="center"/>
          </w:tcPr>
          <w:p w14:paraId="03CF4910" w14:textId="77777777" w:rsidR="00767BF8" w:rsidRPr="002F4295" w:rsidRDefault="00767BF8" w:rsidP="00C66520">
            <w:pPr>
              <w:pStyle w:val="subheadingblue"/>
              <w:rPr>
                <w:color w:val="FFFFFF" w:themeColor="background1"/>
              </w:rPr>
            </w:pPr>
            <w:r w:rsidRPr="002F4295">
              <w:rPr>
                <w:color w:val="FFFFFF" w:themeColor="background1"/>
              </w:rPr>
              <w:t>Lesson elements</w:t>
            </w:r>
          </w:p>
        </w:tc>
      </w:tr>
      <w:tr w:rsidR="00767BF8" w:rsidRPr="003837B5" w14:paraId="7EC40874" w14:textId="77777777" w:rsidTr="00FA3A4B">
        <w:trPr>
          <w:trHeight w:val="340"/>
        </w:trPr>
        <w:tc>
          <w:tcPr>
            <w:tcW w:w="10800" w:type="dxa"/>
            <w:gridSpan w:val="3"/>
            <w:shd w:val="clear" w:color="auto" w:fill="E6E7E8"/>
            <w:vAlign w:val="center"/>
          </w:tcPr>
          <w:p w14:paraId="29C17C23" w14:textId="72F356BE" w:rsidR="00767BF8" w:rsidRPr="003837B5" w:rsidRDefault="00767BF8" w:rsidP="003837B5">
            <w:pPr>
              <w:pStyle w:val="text-para"/>
              <w:rPr>
                <w:rFonts w:ascii="Museo 500" w:hAnsi="Museo 500"/>
                <w:color w:val="B455A0"/>
              </w:rPr>
            </w:pPr>
            <w:r w:rsidRPr="003837B5">
              <w:rPr>
                <w:rFonts w:ascii="Museo 500" w:hAnsi="Museo 500"/>
                <w:color w:val="B455A0"/>
              </w:rPr>
              <w:t xml:space="preserve">Lesson One: Explore </w:t>
            </w:r>
            <w:r w:rsidR="00636FEE" w:rsidRPr="003837B5">
              <w:rPr>
                <w:rFonts w:ascii="Museo 500" w:hAnsi="Museo 500"/>
                <w:color w:val="B455A0"/>
              </w:rPr>
              <w:t>Training Pathways</w:t>
            </w:r>
          </w:p>
        </w:tc>
      </w:tr>
      <w:tr w:rsidR="00767BF8" w:rsidRPr="00204235" w14:paraId="4BAF6306" w14:textId="77777777" w:rsidTr="00795C91">
        <w:trPr>
          <w:trHeight w:val="227"/>
        </w:trPr>
        <w:tc>
          <w:tcPr>
            <w:tcW w:w="1980" w:type="dxa"/>
            <w:tcBorders>
              <w:top w:val="single" w:sz="4" w:space="0" w:color="A5A2BA"/>
              <w:bottom w:val="single" w:sz="4" w:space="0" w:color="A6A6A6" w:themeColor="background1" w:themeShade="A6"/>
            </w:tcBorders>
            <w:shd w:val="clear" w:color="auto" w:fill="E6E7E8"/>
          </w:tcPr>
          <w:p w14:paraId="00D44636" w14:textId="52B8DC4A" w:rsidR="00767BF8" w:rsidRPr="00EC0C4F" w:rsidRDefault="00767BF8" w:rsidP="00C66520">
            <w:pPr>
              <w:pStyle w:val="text-para10pt"/>
            </w:pPr>
            <w:r>
              <w:t>Students will learn relevant vocabulary.</w:t>
            </w:r>
            <w:r w:rsidRPr="00C06A31">
              <w:t xml:space="preserve"> </w:t>
            </w:r>
          </w:p>
        </w:tc>
        <w:tc>
          <w:tcPr>
            <w:tcW w:w="3780" w:type="dxa"/>
            <w:tcBorders>
              <w:top w:val="single" w:sz="4" w:space="0" w:color="A5A2BA"/>
              <w:bottom w:val="dotted" w:sz="4" w:space="0" w:color="1D1752" w:themeColor="text2"/>
            </w:tcBorders>
            <w:shd w:val="clear" w:color="auto" w:fill="auto"/>
          </w:tcPr>
          <w:p w14:paraId="6A963724" w14:textId="77777777" w:rsidR="00767BF8" w:rsidRPr="00AE0A87" w:rsidRDefault="00767BF8" w:rsidP="00C66520">
            <w:pPr>
              <w:pStyle w:val="text-para"/>
              <w:rPr>
                <w:rFonts w:ascii="Museo 500" w:hAnsi="Museo 500"/>
                <w:color w:val="B455A0" w:themeColor="accent1"/>
              </w:rPr>
            </w:pPr>
            <w:r w:rsidRPr="00AE0A87">
              <w:rPr>
                <w:rFonts w:ascii="Museo 500" w:hAnsi="Museo 500"/>
                <w:noProof/>
                <w:color w:val="B455A0"/>
              </w:rPr>
              <w:t>1. Pre-teach vocabulary</w:t>
            </w:r>
          </w:p>
        </w:tc>
        <w:tc>
          <w:tcPr>
            <w:tcW w:w="5040" w:type="dxa"/>
            <w:tcBorders>
              <w:top w:val="single" w:sz="4" w:space="0" w:color="A5A2BA"/>
              <w:bottom w:val="dotted" w:sz="4" w:space="0" w:color="1D1752" w:themeColor="text2"/>
            </w:tcBorders>
          </w:tcPr>
          <w:p w14:paraId="1FCE62C2" w14:textId="77777777" w:rsidR="00767BF8" w:rsidRPr="00511C22" w:rsidRDefault="00767BF8" w:rsidP="00C66520">
            <w:pPr>
              <w:pStyle w:val="text-para"/>
              <w:rPr>
                <w:i/>
                <w:iCs/>
                <w:color w:val="B455A0" w:themeColor="accent1"/>
              </w:rPr>
            </w:pPr>
            <w:r w:rsidRPr="00B330F9">
              <w:t xml:space="preserve">Pre-teach vocabulary using the glossary activities </w:t>
            </w:r>
            <w:r>
              <w:t>(if required).</w:t>
            </w:r>
          </w:p>
        </w:tc>
      </w:tr>
      <w:tr w:rsidR="00FE2220" w:rsidRPr="00204235" w14:paraId="3D33810E" w14:textId="77777777" w:rsidTr="00795C91">
        <w:trPr>
          <w:trHeight w:val="2379"/>
        </w:trPr>
        <w:tc>
          <w:tcPr>
            <w:tcW w:w="1980" w:type="dxa"/>
            <w:tcBorders>
              <w:top w:val="single" w:sz="4" w:space="0" w:color="A6A6A6" w:themeColor="background1" w:themeShade="A6"/>
              <w:bottom w:val="single" w:sz="4" w:space="0" w:color="A6A6A6" w:themeColor="background1" w:themeShade="A6"/>
            </w:tcBorders>
            <w:shd w:val="clear" w:color="auto" w:fill="E6E7E8"/>
          </w:tcPr>
          <w:p w14:paraId="6AB65E14" w14:textId="77777777" w:rsidR="00FE2220" w:rsidRDefault="00FE2220" w:rsidP="00C66520">
            <w:pPr>
              <w:pStyle w:val="text-para10pt"/>
            </w:pPr>
          </w:p>
        </w:tc>
        <w:tc>
          <w:tcPr>
            <w:tcW w:w="3780" w:type="dxa"/>
            <w:tcBorders>
              <w:top w:val="single" w:sz="4" w:space="0" w:color="A5A2BA"/>
              <w:bottom w:val="single" w:sz="4" w:space="0" w:color="A6A6A6" w:themeColor="background1" w:themeShade="A6"/>
            </w:tcBorders>
            <w:shd w:val="clear" w:color="auto" w:fill="auto"/>
          </w:tcPr>
          <w:p w14:paraId="714420BF" w14:textId="519D61EF" w:rsidR="00FE2220" w:rsidRPr="00AE0A87" w:rsidRDefault="00FE2220" w:rsidP="00A4229B">
            <w:pPr>
              <w:pStyle w:val="text-para"/>
              <w:ind w:left="227" w:hanging="227"/>
              <w:rPr>
                <w:rFonts w:ascii="Museo 500" w:hAnsi="Museo 500"/>
                <w:noProof/>
                <w:color w:val="B455A0"/>
              </w:rPr>
            </w:pPr>
            <w:r>
              <w:rPr>
                <w:rFonts w:ascii="Museo 500" w:hAnsi="Museo 500"/>
                <w:noProof/>
                <w:color w:val="B455A0"/>
              </w:rPr>
              <w:t xml:space="preserve">2. Remind students of </w:t>
            </w:r>
            <w:r w:rsidR="009710A6">
              <w:rPr>
                <w:rFonts w:ascii="Museo 500" w:hAnsi="Museo 500"/>
                <w:noProof/>
                <w:color w:val="B455A0"/>
              </w:rPr>
              <w:br/>
            </w:r>
            <w:r>
              <w:rPr>
                <w:rFonts w:ascii="Museo 500" w:hAnsi="Museo 500"/>
                <w:noProof/>
                <w:color w:val="B455A0"/>
              </w:rPr>
              <w:t xml:space="preserve">myWAY Employability </w:t>
            </w:r>
            <w:r w:rsidR="009710A6">
              <w:rPr>
                <w:rFonts w:ascii="Museo 500" w:hAnsi="Museo 500"/>
                <w:noProof/>
                <w:color w:val="B455A0"/>
              </w:rPr>
              <w:br/>
            </w:r>
            <w:r>
              <w:rPr>
                <w:rFonts w:ascii="Museo 500" w:hAnsi="Museo 500"/>
                <w:noProof/>
                <w:color w:val="B455A0"/>
              </w:rPr>
              <w:t>quiz results</w:t>
            </w:r>
          </w:p>
        </w:tc>
        <w:tc>
          <w:tcPr>
            <w:tcW w:w="5040" w:type="dxa"/>
            <w:tcBorders>
              <w:top w:val="single" w:sz="4" w:space="0" w:color="A5A2BA"/>
              <w:bottom w:val="dotted" w:sz="4" w:space="0" w:color="1D1752" w:themeColor="text2"/>
            </w:tcBorders>
          </w:tcPr>
          <w:p w14:paraId="7993DF9F" w14:textId="449A4BB6" w:rsidR="00FE2220" w:rsidRPr="00FE2220" w:rsidRDefault="00EF40F4" w:rsidP="00C66520">
            <w:pPr>
              <w:pStyle w:val="text-para"/>
              <w:rPr>
                <w:i/>
                <w:iCs/>
              </w:rPr>
            </w:pPr>
            <w:r>
              <w:rPr>
                <w:i/>
                <w:iCs/>
              </w:rPr>
              <w:t xml:space="preserve">Prior to this lesson it is recommended that </w:t>
            </w:r>
            <w:r w:rsidR="00FE2220" w:rsidRPr="00FE2220">
              <w:rPr>
                <w:i/>
                <w:iCs/>
              </w:rPr>
              <w:t xml:space="preserve">Students </w:t>
            </w:r>
            <w:r>
              <w:rPr>
                <w:i/>
                <w:iCs/>
              </w:rPr>
              <w:t>complete</w:t>
            </w:r>
            <w:r w:rsidR="00FE2220" w:rsidRPr="00FE2220">
              <w:rPr>
                <w:i/>
                <w:iCs/>
              </w:rPr>
              <w:t xml:space="preserve"> the </w:t>
            </w:r>
            <w:proofErr w:type="spellStart"/>
            <w:r w:rsidR="00FE2220" w:rsidRPr="00FE2220">
              <w:rPr>
                <w:i/>
                <w:iCs/>
              </w:rPr>
              <w:t>myWAY</w:t>
            </w:r>
            <w:proofErr w:type="spellEnd"/>
            <w:r w:rsidR="00FE2220" w:rsidRPr="00FE2220">
              <w:rPr>
                <w:i/>
                <w:iCs/>
              </w:rPr>
              <w:t xml:space="preserve"> Employability quizzes (see </w:t>
            </w:r>
            <w:proofErr w:type="gramStart"/>
            <w:r w:rsidR="00FE2220" w:rsidRPr="00FE2220">
              <w:rPr>
                <w:i/>
                <w:iCs/>
              </w:rPr>
              <w:t>Post-school</w:t>
            </w:r>
            <w:proofErr w:type="gramEnd"/>
            <w:r w:rsidR="00FE2220" w:rsidRPr="00FE2220">
              <w:rPr>
                <w:i/>
                <w:iCs/>
              </w:rPr>
              <w:t xml:space="preserve"> planning: Self-discovery </w:t>
            </w:r>
            <w:r w:rsidR="00CF7C1A">
              <w:rPr>
                <w:i/>
                <w:iCs/>
              </w:rPr>
              <w:t>practice</w:t>
            </w:r>
            <w:r w:rsidR="00FE2220" w:rsidRPr="00FE2220">
              <w:rPr>
                <w:i/>
                <w:iCs/>
              </w:rPr>
              <w:t xml:space="preserve">). If they are yet to complete these, please </w:t>
            </w:r>
            <w:r>
              <w:rPr>
                <w:i/>
                <w:iCs/>
              </w:rPr>
              <w:t>complete</w:t>
            </w:r>
            <w:r w:rsidRPr="00FE2220">
              <w:rPr>
                <w:i/>
                <w:iCs/>
              </w:rPr>
              <w:t xml:space="preserve"> </w:t>
            </w:r>
            <w:r w:rsidR="00FE2220" w:rsidRPr="00FE2220">
              <w:rPr>
                <w:i/>
                <w:iCs/>
              </w:rPr>
              <w:t>that unit first.</w:t>
            </w:r>
          </w:p>
          <w:p w14:paraId="5DA92669" w14:textId="321F2B2F" w:rsidR="00FE2220" w:rsidRPr="00B330F9" w:rsidRDefault="00FE2220" w:rsidP="005F7114">
            <w:pPr>
              <w:pStyle w:val="bulletpurple"/>
              <w:numPr>
                <w:ilvl w:val="0"/>
                <w:numId w:val="9"/>
              </w:numPr>
            </w:pPr>
            <w:r>
              <w:t xml:space="preserve">Remind students of </w:t>
            </w:r>
            <w:r w:rsidRPr="005D0FA6">
              <w:t>their</w:t>
            </w:r>
            <w:r>
              <w:t xml:space="preserve"> results from the quiz. This will help align their research with vocations that interest them.</w:t>
            </w:r>
          </w:p>
        </w:tc>
      </w:tr>
      <w:tr w:rsidR="00767BF8" w:rsidRPr="00204235" w14:paraId="285134E5" w14:textId="77777777" w:rsidTr="00795C91">
        <w:trPr>
          <w:trHeight w:val="3460"/>
        </w:trPr>
        <w:tc>
          <w:tcPr>
            <w:tcW w:w="1980" w:type="dxa"/>
            <w:tcBorders>
              <w:top w:val="single" w:sz="4" w:space="0" w:color="A6A6A6" w:themeColor="background1" w:themeShade="A6"/>
            </w:tcBorders>
            <w:shd w:val="clear" w:color="auto" w:fill="E6E7E8"/>
          </w:tcPr>
          <w:p w14:paraId="2276C003" w14:textId="34B8A11E" w:rsidR="00767BF8" w:rsidRPr="00EC0C4F" w:rsidRDefault="002919A1" w:rsidP="002919A1">
            <w:pPr>
              <w:pStyle w:val="text-para10pt"/>
            </w:pPr>
            <w:r w:rsidRPr="00C06A31">
              <w:t xml:space="preserve">Students will identify their </w:t>
            </w:r>
            <w:r>
              <w:t>preferences and important considerations when choosing a career</w:t>
            </w:r>
            <w:r w:rsidRPr="00C06A31">
              <w:t xml:space="preserve">.  </w:t>
            </w:r>
          </w:p>
        </w:tc>
        <w:tc>
          <w:tcPr>
            <w:tcW w:w="3780" w:type="dxa"/>
            <w:tcBorders>
              <w:top w:val="single" w:sz="4" w:space="0" w:color="A6A6A6" w:themeColor="background1" w:themeShade="A6"/>
              <w:bottom w:val="dotted" w:sz="4" w:space="0" w:color="1D1752" w:themeColor="text2"/>
            </w:tcBorders>
            <w:shd w:val="clear" w:color="auto" w:fill="auto"/>
          </w:tcPr>
          <w:p w14:paraId="40B0FCF8" w14:textId="22BE1154" w:rsidR="00767BF8" w:rsidRPr="00AE0A87" w:rsidRDefault="00FE2220" w:rsidP="00A4229B">
            <w:pPr>
              <w:pStyle w:val="text-para"/>
              <w:ind w:left="227" w:hanging="227"/>
              <w:rPr>
                <w:rFonts w:ascii="Museo 500" w:hAnsi="Museo 500"/>
                <w:color w:val="B455A0"/>
              </w:rPr>
            </w:pPr>
            <w:r>
              <w:rPr>
                <w:rFonts w:ascii="Museo 500" w:hAnsi="Museo 500"/>
                <w:color w:val="B455A0"/>
              </w:rPr>
              <w:t>3</w:t>
            </w:r>
            <w:r w:rsidR="00767BF8" w:rsidRPr="00AE0A87">
              <w:rPr>
                <w:rFonts w:ascii="Museo 500" w:hAnsi="Museo 500"/>
                <w:color w:val="B455A0"/>
              </w:rPr>
              <w:t xml:space="preserve">. Introduction to </w:t>
            </w:r>
            <w:r w:rsidR="005907ED">
              <w:rPr>
                <w:rFonts w:ascii="Museo 500" w:hAnsi="Museo 500"/>
                <w:color w:val="B455A0"/>
              </w:rPr>
              <w:t>training pathways</w:t>
            </w:r>
          </w:p>
          <w:p w14:paraId="60E593AD" w14:textId="77777777" w:rsidR="00767BF8" w:rsidRPr="00C06A31" w:rsidRDefault="00767BF8" w:rsidP="00C66520">
            <w:pPr>
              <w:pStyle w:val="text-para"/>
            </w:pPr>
          </w:p>
          <w:p w14:paraId="625F4F07" w14:textId="1A4477D8" w:rsidR="00767BF8" w:rsidRPr="00204235" w:rsidRDefault="00121437" w:rsidP="00C66520">
            <w:pPr>
              <w:pStyle w:val="text-para"/>
            </w:pPr>
            <w:r>
              <w:t>20-30</w:t>
            </w:r>
            <w:r w:rsidR="00767BF8" w:rsidRPr="00204235">
              <w:t xml:space="preserve"> minutes approx.</w:t>
            </w:r>
          </w:p>
          <w:p w14:paraId="0E006D69" w14:textId="77777777" w:rsidR="00767BF8" w:rsidRDefault="00767BF8" w:rsidP="00C66520">
            <w:pPr>
              <w:pStyle w:val="text-para"/>
            </w:pPr>
          </w:p>
          <w:p w14:paraId="4F068A54" w14:textId="2FD79B81" w:rsidR="00767BF8" w:rsidRPr="008A0DC7" w:rsidRDefault="00767BF8" w:rsidP="00C66520">
            <w:pPr>
              <w:pStyle w:val="text-para"/>
              <w:rPr>
                <w:rFonts w:asciiTheme="majorHAnsi" w:hAnsiTheme="majorHAnsi"/>
                <w:color w:val="B455A0" w:themeColor="accent1"/>
              </w:rPr>
            </w:pPr>
          </w:p>
        </w:tc>
        <w:tc>
          <w:tcPr>
            <w:tcW w:w="5040" w:type="dxa"/>
            <w:tcBorders>
              <w:top w:val="single" w:sz="4" w:space="0" w:color="A5A2BA"/>
              <w:bottom w:val="dotted" w:sz="4" w:space="0" w:color="1D1752" w:themeColor="text2"/>
            </w:tcBorders>
          </w:tcPr>
          <w:p w14:paraId="48F5A217" w14:textId="6AAC8CCA" w:rsidR="00767BF8" w:rsidRPr="009F79F3" w:rsidRDefault="00767BF8" w:rsidP="00B3632A">
            <w:pPr>
              <w:pStyle w:val="bulletpurple"/>
              <w:numPr>
                <w:ilvl w:val="0"/>
                <w:numId w:val="0"/>
              </w:numPr>
            </w:pPr>
            <w:r w:rsidRPr="009F79F3">
              <w:t xml:space="preserve">Facilitate the following whole-class </w:t>
            </w:r>
            <w:r w:rsidR="009D13BB">
              <w:t>activity</w:t>
            </w:r>
            <w:r>
              <w:t>.</w:t>
            </w:r>
          </w:p>
          <w:p w14:paraId="12582393" w14:textId="77777777" w:rsidR="00767BF8" w:rsidRDefault="00767BF8" w:rsidP="00C66520">
            <w:pPr>
              <w:rPr>
                <w:rFonts w:ascii="Arial" w:hAnsi="Arial" w:cs="Arial"/>
                <w:sz w:val="20"/>
                <w:szCs w:val="20"/>
              </w:rPr>
            </w:pPr>
          </w:p>
          <w:p w14:paraId="5A59825C" w14:textId="4CF84B8A" w:rsidR="00767BF8" w:rsidRPr="005F7114" w:rsidRDefault="00767BF8" w:rsidP="00C66520">
            <w:pPr>
              <w:pStyle w:val="text-para"/>
              <w:rPr>
                <w:color w:val="B455A0" w:themeColor="accent1"/>
              </w:rPr>
            </w:pPr>
            <w:r w:rsidRPr="005F7114">
              <w:rPr>
                <w:color w:val="B455A0" w:themeColor="accent1"/>
              </w:rPr>
              <w:t xml:space="preserve">Whole-class </w:t>
            </w:r>
            <w:r w:rsidR="005F7114" w:rsidRPr="005F7114">
              <w:rPr>
                <w:color w:val="B455A0" w:themeColor="accent1"/>
              </w:rPr>
              <w:t>a</w:t>
            </w:r>
            <w:r w:rsidR="009D13BB" w:rsidRPr="005F7114">
              <w:rPr>
                <w:color w:val="B455A0" w:themeColor="accent1"/>
              </w:rPr>
              <w:t>ctivity</w:t>
            </w:r>
          </w:p>
          <w:p w14:paraId="0E9CC54D" w14:textId="75DFB60B" w:rsidR="009D13BB" w:rsidRDefault="009D13BB" w:rsidP="00B3632A">
            <w:pPr>
              <w:pStyle w:val="bulletpurple"/>
              <w:numPr>
                <w:ilvl w:val="0"/>
                <w:numId w:val="0"/>
              </w:numPr>
            </w:pPr>
            <w:r w:rsidRPr="00AC2302">
              <w:rPr>
                <w:b/>
                <w:bCs/>
              </w:rPr>
              <w:t>Jigsaw learning</w:t>
            </w:r>
            <w:r w:rsidR="003677AD">
              <w:rPr>
                <w:b/>
                <w:bCs/>
              </w:rPr>
              <w:t xml:space="preserve">: </w:t>
            </w:r>
            <w:r w:rsidR="00AC2302">
              <w:t>D</w:t>
            </w:r>
            <w:r>
              <w:t>ivide the class into groups of three</w:t>
            </w:r>
            <w:r w:rsidR="005D5088">
              <w:t xml:space="preserve">. Each group </w:t>
            </w:r>
            <w:r w:rsidR="00EF40F4">
              <w:t>use the guides and articles to</w:t>
            </w:r>
            <w:r w:rsidR="00C14AC4">
              <w:t xml:space="preserve"> </w:t>
            </w:r>
            <w:r w:rsidR="00EF40F4">
              <w:t>answer a series of questions.</w:t>
            </w:r>
            <w:r w:rsidR="00AC2302">
              <w:t xml:space="preserve"> </w:t>
            </w:r>
            <w:r w:rsidR="00EF40F4">
              <w:t>They will</w:t>
            </w:r>
            <w:r w:rsidR="005D5088">
              <w:t xml:space="preserve"> report back to the class what they have learnt and any other interesting thoughts:</w:t>
            </w:r>
          </w:p>
          <w:p w14:paraId="4FE58DA3" w14:textId="16AA6330" w:rsidR="005D5088" w:rsidRPr="00337BE6" w:rsidRDefault="00D16AD1" w:rsidP="003677AD">
            <w:pPr>
              <w:pStyle w:val="bulletpurple"/>
              <w:spacing w:after="40"/>
              <w:contextualSpacing w:val="0"/>
              <w:rPr>
                <w:rStyle w:val="Hyperlink"/>
              </w:rPr>
            </w:pPr>
            <w:hyperlink r:id="rId13" w:history="1">
              <w:r w:rsidR="005D5088" w:rsidRPr="00337BE6">
                <w:t xml:space="preserve">Australian Government </w:t>
              </w:r>
              <w:r w:rsidR="005D5088" w:rsidRPr="00337BE6">
                <w:rPr>
                  <w:rStyle w:val="Hyperlink"/>
                </w:rPr>
                <w:t>Beyond School Study Guide</w:t>
              </w:r>
            </w:hyperlink>
            <w:r w:rsidR="005229E7" w:rsidRPr="00337BE6">
              <w:rPr>
                <w:rStyle w:val="Hyperlink"/>
              </w:rPr>
              <w:t xml:space="preserve"> </w:t>
            </w:r>
          </w:p>
          <w:p w14:paraId="3263B8DC" w14:textId="7B44B3C8" w:rsidR="005D5088" w:rsidRPr="005F7114" w:rsidRDefault="00D16AD1" w:rsidP="003677AD">
            <w:pPr>
              <w:pStyle w:val="bulletpurple"/>
              <w:spacing w:after="40"/>
              <w:contextualSpacing w:val="0"/>
            </w:pPr>
            <w:hyperlink r:id="rId14" w:history="1">
              <w:proofErr w:type="spellStart"/>
              <w:r w:rsidR="005D5088" w:rsidRPr="005F7114">
                <w:rPr>
                  <w:rStyle w:val="Hyperlink"/>
                  <w:color w:val="1D1752" w:themeColor="text2"/>
                  <w:u w:val="none"/>
                </w:rPr>
                <w:t>myWAY</w:t>
              </w:r>
              <w:proofErr w:type="spellEnd"/>
              <w:r w:rsidR="005D5088" w:rsidRPr="005F7114">
                <w:rPr>
                  <w:rStyle w:val="Hyperlink"/>
                  <w:color w:val="1D1752" w:themeColor="text2"/>
                  <w:u w:val="none"/>
                </w:rPr>
                <w:t xml:space="preserve"> Employability article: </w:t>
              </w:r>
              <w:r w:rsidR="00F828B5">
                <w:rPr>
                  <w:rStyle w:val="Hyperlink"/>
                  <w:color w:val="1D1752" w:themeColor="text2"/>
                  <w:u w:val="none"/>
                </w:rPr>
                <w:br/>
              </w:r>
              <w:r w:rsidR="005D5088" w:rsidRPr="00337BE6">
                <w:rPr>
                  <w:rStyle w:val="Hyperlink"/>
                </w:rPr>
                <w:t>Studying at university and TAFE</w:t>
              </w:r>
            </w:hyperlink>
          </w:p>
          <w:p w14:paraId="483E2BCF" w14:textId="5DB25C17" w:rsidR="005D5088" w:rsidRPr="005F7114" w:rsidRDefault="00D16AD1" w:rsidP="003677AD">
            <w:pPr>
              <w:pStyle w:val="bulletpurple"/>
              <w:spacing w:after="40"/>
              <w:contextualSpacing w:val="0"/>
            </w:pPr>
            <w:hyperlink r:id="rId15" w:history="1">
              <w:proofErr w:type="spellStart"/>
              <w:r w:rsidR="005D5088" w:rsidRPr="005F7114">
                <w:rPr>
                  <w:rStyle w:val="Hyperlink"/>
                  <w:color w:val="1D1752" w:themeColor="text2"/>
                  <w:u w:val="none"/>
                </w:rPr>
                <w:t>myWAY</w:t>
              </w:r>
              <w:proofErr w:type="spellEnd"/>
              <w:r w:rsidR="005D5088" w:rsidRPr="005F7114">
                <w:rPr>
                  <w:rStyle w:val="Hyperlink"/>
                  <w:color w:val="1D1752" w:themeColor="text2"/>
                  <w:u w:val="none"/>
                </w:rPr>
                <w:t xml:space="preserve"> Employability article: </w:t>
              </w:r>
              <w:r w:rsidR="005D5088" w:rsidRPr="00337BE6">
                <w:rPr>
                  <w:rStyle w:val="Hyperlink"/>
                </w:rPr>
                <w:t>Pathways for formal study and training after school</w:t>
              </w:r>
            </w:hyperlink>
          </w:p>
          <w:p w14:paraId="70A29594" w14:textId="408C6FB9" w:rsidR="00EF40F4" w:rsidRPr="00121437" w:rsidRDefault="00EF40F4" w:rsidP="00121437">
            <w:pPr>
              <w:pStyle w:val="text-para"/>
            </w:pPr>
          </w:p>
        </w:tc>
      </w:tr>
      <w:tr w:rsidR="002F7878" w:rsidRPr="00204235" w14:paraId="042A97EC" w14:textId="77777777" w:rsidTr="00070F8C">
        <w:trPr>
          <w:trHeight w:val="4594"/>
        </w:trPr>
        <w:tc>
          <w:tcPr>
            <w:tcW w:w="1980" w:type="dxa"/>
            <w:tcBorders>
              <w:top w:val="single" w:sz="4" w:space="0" w:color="A6A6A6" w:themeColor="background1" w:themeShade="A6"/>
            </w:tcBorders>
            <w:shd w:val="clear" w:color="auto" w:fill="E6E7E8"/>
          </w:tcPr>
          <w:p w14:paraId="0CE883BF" w14:textId="77777777" w:rsidR="002F7878" w:rsidRPr="00C06A31" w:rsidRDefault="002F7878" w:rsidP="002919A1">
            <w:pPr>
              <w:pStyle w:val="text-para10pt"/>
            </w:pPr>
          </w:p>
        </w:tc>
        <w:tc>
          <w:tcPr>
            <w:tcW w:w="3780" w:type="dxa"/>
            <w:tcBorders>
              <w:top w:val="single" w:sz="4" w:space="0" w:color="A6A6A6" w:themeColor="background1" w:themeShade="A6"/>
              <w:bottom w:val="dotted" w:sz="4" w:space="0" w:color="1D1752" w:themeColor="text2"/>
            </w:tcBorders>
            <w:shd w:val="clear" w:color="auto" w:fill="auto"/>
          </w:tcPr>
          <w:p w14:paraId="4F12DF39" w14:textId="77777777" w:rsidR="002F7878" w:rsidRDefault="002F7878" w:rsidP="00A4229B">
            <w:pPr>
              <w:pStyle w:val="text-para"/>
              <w:ind w:left="227" w:hanging="227"/>
              <w:rPr>
                <w:rFonts w:ascii="Museo 500" w:hAnsi="Museo 500"/>
                <w:color w:val="B455A0"/>
              </w:rPr>
            </w:pPr>
          </w:p>
        </w:tc>
        <w:tc>
          <w:tcPr>
            <w:tcW w:w="5040" w:type="dxa"/>
            <w:tcBorders>
              <w:top w:val="single" w:sz="4" w:space="0" w:color="A5A2BA"/>
              <w:bottom w:val="dotted" w:sz="4" w:space="0" w:color="1D1752" w:themeColor="text2"/>
            </w:tcBorders>
          </w:tcPr>
          <w:p w14:paraId="66A6D3D6" w14:textId="77777777" w:rsidR="002F7878" w:rsidRPr="003677AD" w:rsidRDefault="002F7878" w:rsidP="002F7878">
            <w:pPr>
              <w:pStyle w:val="bulletpurple"/>
              <w:numPr>
                <w:ilvl w:val="0"/>
                <w:numId w:val="0"/>
              </w:numPr>
              <w:rPr>
                <w:color w:val="B455A0" w:themeColor="accent1"/>
              </w:rPr>
            </w:pPr>
            <w:r w:rsidRPr="003677AD">
              <w:rPr>
                <w:color w:val="B455A0" w:themeColor="accent1"/>
              </w:rPr>
              <w:t xml:space="preserve">Questions for the groups to consider </w:t>
            </w:r>
          </w:p>
          <w:p w14:paraId="2919AB76" w14:textId="77777777" w:rsidR="002F7878" w:rsidRPr="00486A08" w:rsidRDefault="002F7878" w:rsidP="002F7878">
            <w:pPr>
              <w:pStyle w:val="bulletpurple"/>
              <w:numPr>
                <w:ilvl w:val="0"/>
                <w:numId w:val="0"/>
              </w:numPr>
            </w:pPr>
            <w:r>
              <w:t>Each group n</w:t>
            </w:r>
            <w:r w:rsidRPr="00486A08">
              <w:t>ominate</w:t>
            </w:r>
            <w:r>
              <w:t>s</w:t>
            </w:r>
            <w:r w:rsidRPr="00486A08">
              <w:t xml:space="preserve"> a </w:t>
            </w:r>
            <w:r>
              <w:t>scribe, a reader, and a speaker</w:t>
            </w:r>
            <w:r w:rsidRPr="00486A08">
              <w:t xml:space="preserve"> for the activity.</w:t>
            </w:r>
            <w:r>
              <w:t xml:space="preserve"> Students can consider:</w:t>
            </w:r>
          </w:p>
          <w:p w14:paraId="58D384DD" w14:textId="77777777" w:rsidR="002F7878" w:rsidRDefault="002F7878" w:rsidP="002F7878">
            <w:pPr>
              <w:pStyle w:val="bulletpurple"/>
              <w:spacing w:after="160" w:line="259" w:lineRule="auto"/>
            </w:pPr>
            <w:r>
              <w:t>What are the features of university?</w:t>
            </w:r>
          </w:p>
          <w:p w14:paraId="459CF890" w14:textId="77777777" w:rsidR="002F7878" w:rsidRDefault="002F7878" w:rsidP="002F7878">
            <w:pPr>
              <w:pStyle w:val="bulletpurple"/>
              <w:spacing w:after="160" w:line="259" w:lineRule="auto"/>
            </w:pPr>
            <w:r>
              <w:t>What are the features of TAFE?</w:t>
            </w:r>
          </w:p>
          <w:p w14:paraId="31F883D4" w14:textId="77777777" w:rsidR="002F7878" w:rsidRDefault="002F7878" w:rsidP="002F7878">
            <w:pPr>
              <w:pStyle w:val="bulletpurple"/>
              <w:spacing w:after="160" w:line="259" w:lineRule="auto"/>
            </w:pPr>
            <w:r>
              <w:t xml:space="preserve">What do I need to know about transitioning to </w:t>
            </w:r>
            <w:proofErr w:type="spellStart"/>
            <w:r>
              <w:t>uni</w:t>
            </w:r>
            <w:proofErr w:type="spellEnd"/>
            <w:r>
              <w:t xml:space="preserve"> or TAFE?</w:t>
            </w:r>
          </w:p>
          <w:p w14:paraId="25E63BDA" w14:textId="77777777" w:rsidR="002F7878" w:rsidRDefault="002F7878" w:rsidP="002F7878">
            <w:pPr>
              <w:pStyle w:val="bulletpurple"/>
              <w:spacing w:after="160" w:line="259" w:lineRule="auto"/>
            </w:pPr>
            <w:r>
              <w:t xml:space="preserve">Does the career I’m interested in </w:t>
            </w:r>
            <w:proofErr w:type="gramStart"/>
            <w:r>
              <w:t>require</w:t>
            </w:r>
            <w:proofErr w:type="gramEnd"/>
            <w:r>
              <w:t xml:space="preserve"> </w:t>
            </w:r>
            <w:proofErr w:type="spellStart"/>
            <w:r>
              <w:t>uni</w:t>
            </w:r>
            <w:proofErr w:type="spellEnd"/>
            <w:r>
              <w:t xml:space="preserve"> study, TAFE study, or other experiences?</w:t>
            </w:r>
          </w:p>
          <w:p w14:paraId="0C92D9E3" w14:textId="77777777" w:rsidR="002F7878" w:rsidRDefault="002F7878" w:rsidP="002F7878">
            <w:pPr>
              <w:pStyle w:val="bulletpurple"/>
              <w:spacing w:after="160" w:line="259" w:lineRule="auto"/>
            </w:pPr>
            <w:r>
              <w:t>Other interesting facts on training pathways.</w:t>
            </w:r>
          </w:p>
          <w:p w14:paraId="78BD9C13" w14:textId="77777777" w:rsidR="002F7878" w:rsidRDefault="002F7878" w:rsidP="002F7878">
            <w:pPr>
              <w:pStyle w:val="text-para"/>
            </w:pPr>
            <w:r>
              <w:t>Each group speaker will then take turns to share with the class what their findings were.</w:t>
            </w:r>
          </w:p>
          <w:p w14:paraId="1D19711A" w14:textId="77777777" w:rsidR="002F7878" w:rsidRDefault="002F7878" w:rsidP="002F7878">
            <w:pPr>
              <w:pStyle w:val="spacer"/>
            </w:pPr>
          </w:p>
          <w:p w14:paraId="220A6753" w14:textId="7414B102" w:rsidR="002F7878" w:rsidRPr="009F79F3" w:rsidRDefault="002F7878" w:rsidP="002F7878">
            <w:pPr>
              <w:pStyle w:val="bulletpurple"/>
              <w:numPr>
                <w:ilvl w:val="0"/>
                <w:numId w:val="0"/>
              </w:numPr>
            </w:pPr>
            <w:r>
              <w:t>Write the key concepts and ideas on the board or paper for students to refer to later.</w:t>
            </w:r>
          </w:p>
        </w:tc>
      </w:tr>
      <w:tr w:rsidR="00767BF8" w:rsidRPr="00204235" w14:paraId="0F6B8AE2" w14:textId="77777777" w:rsidTr="00070F8C">
        <w:trPr>
          <w:trHeight w:val="3332"/>
        </w:trPr>
        <w:tc>
          <w:tcPr>
            <w:tcW w:w="1980" w:type="dxa"/>
            <w:tcBorders>
              <w:top w:val="single" w:sz="4" w:space="0" w:color="A5A2BA"/>
            </w:tcBorders>
            <w:shd w:val="clear" w:color="auto" w:fill="E6E7E8"/>
          </w:tcPr>
          <w:p w14:paraId="4E66FED8" w14:textId="2D67FE88" w:rsidR="00767BF8" w:rsidRPr="00C66520" w:rsidRDefault="00767BF8" w:rsidP="00AE0A87">
            <w:pPr>
              <w:pStyle w:val="bulletpurple"/>
              <w:numPr>
                <w:ilvl w:val="0"/>
                <w:numId w:val="0"/>
              </w:numPr>
              <w:rPr>
                <w:sz w:val="20"/>
                <w:szCs w:val="20"/>
              </w:rPr>
            </w:pPr>
            <w:r w:rsidRPr="00C66520">
              <w:rPr>
                <w:sz w:val="20"/>
                <w:szCs w:val="20"/>
              </w:rPr>
              <w:t xml:space="preserve">Students will </w:t>
            </w:r>
            <w:r w:rsidR="002919A1">
              <w:rPr>
                <w:sz w:val="20"/>
                <w:szCs w:val="20"/>
              </w:rPr>
              <w:t>research training pathway options pertinent to their career of interest.</w:t>
            </w:r>
          </w:p>
          <w:p w14:paraId="604B9383" w14:textId="77777777" w:rsidR="00767BF8" w:rsidRPr="00EC0C4F" w:rsidRDefault="00767BF8" w:rsidP="00AE0A87">
            <w:pPr>
              <w:pStyle w:val="text-para10ptbullet"/>
              <w:numPr>
                <w:ilvl w:val="0"/>
                <w:numId w:val="0"/>
              </w:numPr>
              <w:ind w:left="227" w:hanging="227"/>
            </w:pPr>
          </w:p>
        </w:tc>
        <w:tc>
          <w:tcPr>
            <w:tcW w:w="3780" w:type="dxa"/>
            <w:tcBorders>
              <w:top w:val="single" w:sz="4" w:space="0" w:color="A5A2BA"/>
              <w:bottom w:val="dotted" w:sz="4" w:space="0" w:color="1D1752" w:themeColor="text2"/>
            </w:tcBorders>
            <w:shd w:val="clear" w:color="auto" w:fill="auto"/>
          </w:tcPr>
          <w:p w14:paraId="4E66E9C5" w14:textId="7DCFB6A1" w:rsidR="00767BF8" w:rsidRPr="00AE0A87" w:rsidRDefault="00FE2220" w:rsidP="00C66520">
            <w:pPr>
              <w:pStyle w:val="text-para"/>
              <w:rPr>
                <w:rFonts w:ascii="Museo 500" w:hAnsi="Museo 500"/>
                <w:color w:val="B455A0"/>
              </w:rPr>
            </w:pPr>
            <w:r>
              <w:rPr>
                <w:rFonts w:ascii="Museo 500" w:hAnsi="Museo 500"/>
                <w:color w:val="B455A0"/>
              </w:rPr>
              <w:t>4</w:t>
            </w:r>
            <w:r w:rsidR="00767BF8" w:rsidRPr="00AE0A87">
              <w:rPr>
                <w:rFonts w:ascii="Museo 500" w:hAnsi="Museo 500"/>
                <w:color w:val="B455A0"/>
              </w:rPr>
              <w:t xml:space="preserve">. Explore </w:t>
            </w:r>
            <w:r w:rsidR="005D5088">
              <w:rPr>
                <w:rFonts w:ascii="Museo 500" w:hAnsi="Museo 500"/>
                <w:color w:val="B455A0"/>
              </w:rPr>
              <w:t>options</w:t>
            </w:r>
          </w:p>
          <w:p w14:paraId="5D231AF5" w14:textId="77777777" w:rsidR="00767BF8" w:rsidRPr="00C06A31" w:rsidRDefault="00767BF8" w:rsidP="00C66520">
            <w:pPr>
              <w:pStyle w:val="text-para"/>
            </w:pPr>
          </w:p>
          <w:p w14:paraId="26CE1487" w14:textId="7450BA97" w:rsidR="00767BF8" w:rsidRPr="008A0DC7" w:rsidRDefault="00767BF8" w:rsidP="00C66520">
            <w:pPr>
              <w:pStyle w:val="text-para"/>
              <w:rPr>
                <w:rFonts w:asciiTheme="majorHAnsi" w:hAnsiTheme="majorHAnsi"/>
                <w:color w:val="B455A0" w:themeColor="accent1"/>
              </w:rPr>
            </w:pPr>
            <w:r>
              <w:t>10-</w:t>
            </w:r>
            <w:r w:rsidR="00CE0E36">
              <w:t>15</w:t>
            </w:r>
            <w:r w:rsidRPr="00204235">
              <w:t xml:space="preserve"> minutes approx. </w:t>
            </w:r>
          </w:p>
        </w:tc>
        <w:tc>
          <w:tcPr>
            <w:tcW w:w="5040" w:type="dxa"/>
            <w:tcBorders>
              <w:top w:val="single" w:sz="4" w:space="0" w:color="A5A2BA"/>
              <w:bottom w:val="dotted" w:sz="4" w:space="0" w:color="1D1752" w:themeColor="text2"/>
            </w:tcBorders>
          </w:tcPr>
          <w:p w14:paraId="4AF64B9F" w14:textId="3B3C8C89" w:rsidR="00767BF8" w:rsidRPr="00312227" w:rsidRDefault="00767BF8" w:rsidP="00C66520">
            <w:pPr>
              <w:pStyle w:val="text-para"/>
              <w:rPr>
                <w:color w:val="B455A0" w:themeColor="accent1"/>
              </w:rPr>
            </w:pPr>
            <w:r w:rsidRPr="00312227">
              <w:rPr>
                <w:color w:val="B455A0" w:themeColor="accent1"/>
              </w:rPr>
              <w:t xml:space="preserve">Exploring </w:t>
            </w:r>
            <w:r w:rsidR="00121437">
              <w:rPr>
                <w:color w:val="B455A0" w:themeColor="accent1"/>
              </w:rPr>
              <w:t>training pathway</w:t>
            </w:r>
            <w:r w:rsidR="002919A1">
              <w:rPr>
                <w:color w:val="B455A0" w:themeColor="accent1"/>
              </w:rPr>
              <w:t xml:space="preserve"> options</w:t>
            </w:r>
          </w:p>
          <w:p w14:paraId="3B3B64D5" w14:textId="77777777" w:rsidR="00B81248" w:rsidRDefault="002919A1" w:rsidP="00070F8C">
            <w:pPr>
              <w:pStyle w:val="bulletpurple"/>
              <w:numPr>
                <w:ilvl w:val="0"/>
                <w:numId w:val="0"/>
              </w:numPr>
              <w:contextualSpacing w:val="0"/>
            </w:pPr>
            <w:r>
              <w:t xml:space="preserve">Students will then spend individual time researching </w:t>
            </w:r>
            <w:hyperlink r:id="rId16" w:history="1">
              <w:r w:rsidRPr="002919A1">
                <w:rPr>
                  <w:rStyle w:val="Hyperlink"/>
                </w:rPr>
                <w:t>Career Bullseyes</w:t>
              </w:r>
            </w:hyperlink>
            <w:r>
              <w:t xml:space="preserve"> for their career of </w:t>
            </w:r>
            <w:proofErr w:type="gramStart"/>
            <w:r>
              <w:t>interest, and</w:t>
            </w:r>
            <w:proofErr w:type="gramEnd"/>
            <w:r>
              <w:t xml:space="preserve"> will take notes on options they would like to research further. </w:t>
            </w:r>
          </w:p>
          <w:p w14:paraId="6C943353" w14:textId="12A76787" w:rsidR="00767BF8" w:rsidRDefault="002919A1" w:rsidP="00070F8C">
            <w:pPr>
              <w:pStyle w:val="bulletpurple"/>
              <w:numPr>
                <w:ilvl w:val="0"/>
                <w:numId w:val="0"/>
              </w:numPr>
              <w:spacing w:before="120"/>
              <w:contextualSpacing w:val="0"/>
            </w:pPr>
            <w:r>
              <w:t xml:space="preserve">Students can then find training pathways that link to these </w:t>
            </w:r>
            <w:proofErr w:type="gramStart"/>
            <w:r>
              <w:t>roles, and</w:t>
            </w:r>
            <w:proofErr w:type="gramEnd"/>
            <w:r>
              <w:t xml:space="preserve"> can search for universities or TAFE sites nearby that offer these courses.</w:t>
            </w:r>
          </w:p>
          <w:p w14:paraId="5A4E7857" w14:textId="6EC8CCE5" w:rsidR="00EF40F4" w:rsidRPr="00C66520" w:rsidRDefault="00EF40F4" w:rsidP="00B81248">
            <w:pPr>
              <w:pStyle w:val="bulletpurple"/>
              <w:numPr>
                <w:ilvl w:val="0"/>
                <w:numId w:val="0"/>
              </w:numPr>
              <w:spacing w:before="120"/>
              <w:contextualSpacing w:val="0"/>
            </w:pPr>
            <w:r>
              <w:t xml:space="preserve">Students may like to refer to the notes </w:t>
            </w:r>
            <w:r w:rsidR="001968E1">
              <w:t xml:space="preserve">about TAFE and </w:t>
            </w:r>
            <w:r w:rsidR="00C14AC4">
              <w:t>Uni</w:t>
            </w:r>
            <w:r w:rsidR="001968E1">
              <w:t xml:space="preserve"> from the previous activity </w:t>
            </w:r>
            <w:r>
              <w:t xml:space="preserve">as they </w:t>
            </w:r>
            <w:proofErr w:type="gramStart"/>
            <w:r>
              <w:t>exploring</w:t>
            </w:r>
            <w:proofErr w:type="gramEnd"/>
            <w:r>
              <w:t xml:space="preserve"> the</w:t>
            </w:r>
            <w:r w:rsidR="001968E1">
              <w:t xml:space="preserve"> pathway options. </w:t>
            </w:r>
          </w:p>
        </w:tc>
      </w:tr>
      <w:tr w:rsidR="00767BF8" w:rsidRPr="00204235" w14:paraId="2F4C60AB" w14:textId="77777777" w:rsidTr="00070F8C">
        <w:trPr>
          <w:trHeight w:val="1495"/>
        </w:trPr>
        <w:tc>
          <w:tcPr>
            <w:tcW w:w="1980" w:type="dxa"/>
            <w:tcBorders>
              <w:top w:val="single" w:sz="4" w:space="0" w:color="A5A2BA"/>
            </w:tcBorders>
            <w:shd w:val="clear" w:color="auto" w:fill="E6E7E8"/>
          </w:tcPr>
          <w:p w14:paraId="0837F1E5" w14:textId="35A3C70E" w:rsidR="00767BF8" w:rsidRPr="00C06A31" w:rsidRDefault="00767BF8" w:rsidP="00C66520">
            <w:pPr>
              <w:pStyle w:val="text-para10pt"/>
            </w:pPr>
            <w:r>
              <w:t xml:space="preserve">Prepare for </w:t>
            </w:r>
            <w:r w:rsidR="009441FF">
              <w:t>event (optional activity)</w:t>
            </w:r>
          </w:p>
        </w:tc>
        <w:tc>
          <w:tcPr>
            <w:tcW w:w="3780" w:type="dxa"/>
            <w:tcBorders>
              <w:top w:val="single" w:sz="4" w:space="0" w:color="A5A2BA"/>
              <w:bottom w:val="dotted" w:sz="4" w:space="0" w:color="1D1752" w:themeColor="text2"/>
            </w:tcBorders>
            <w:shd w:val="clear" w:color="auto" w:fill="auto"/>
          </w:tcPr>
          <w:p w14:paraId="6547909E" w14:textId="77777777" w:rsidR="00767BF8" w:rsidRPr="007B681C" w:rsidRDefault="00767BF8" w:rsidP="00C66520">
            <w:pPr>
              <w:pStyle w:val="text-para"/>
              <w:rPr>
                <w:rFonts w:asciiTheme="majorHAnsi" w:hAnsiTheme="majorHAnsi"/>
                <w:color w:val="B455A0" w:themeColor="accent1"/>
              </w:rPr>
            </w:pPr>
          </w:p>
        </w:tc>
        <w:tc>
          <w:tcPr>
            <w:tcW w:w="5040" w:type="dxa"/>
            <w:tcBorders>
              <w:top w:val="single" w:sz="4" w:space="0" w:color="A5A2BA"/>
              <w:bottom w:val="dotted" w:sz="4" w:space="0" w:color="1D1752" w:themeColor="text2"/>
            </w:tcBorders>
          </w:tcPr>
          <w:p w14:paraId="0583E09B" w14:textId="770F5D00" w:rsidR="00767BF8" w:rsidRPr="00C66520" w:rsidRDefault="007647AD" w:rsidP="00C66520">
            <w:pPr>
              <w:pStyle w:val="text-para"/>
              <w:rPr>
                <w:i/>
                <w:iCs/>
                <w:color w:val="B455A0" w:themeColor="accent1"/>
              </w:rPr>
            </w:pPr>
            <w:r>
              <w:rPr>
                <w:i/>
                <w:iCs/>
              </w:rPr>
              <w:t>Once this pre-work is complete</w:t>
            </w:r>
            <w:r w:rsidR="009441FF">
              <w:rPr>
                <w:i/>
                <w:iCs/>
              </w:rPr>
              <w:t>, you can then decide if you would like to invite speakers (either former students or external speakers) to discuss their training pathways and careers. Further resources are available within this practice.</w:t>
            </w:r>
          </w:p>
        </w:tc>
      </w:tr>
    </w:tbl>
    <w:p w14:paraId="2025491B" w14:textId="77777777" w:rsidR="00767BF8" w:rsidRDefault="00767BF8" w:rsidP="00767BF8">
      <w: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1980"/>
        <w:gridCol w:w="3780"/>
        <w:gridCol w:w="5040"/>
      </w:tblGrid>
      <w:tr w:rsidR="00767BF8" w:rsidRPr="002F4295" w14:paraId="260094BF" w14:textId="77777777" w:rsidTr="00F828B5">
        <w:trPr>
          <w:trHeight w:val="227"/>
          <w:tblHeader/>
        </w:trPr>
        <w:tc>
          <w:tcPr>
            <w:tcW w:w="1980" w:type="dxa"/>
            <w:tcBorders>
              <w:bottom w:val="single" w:sz="4" w:space="0" w:color="A5A2BA"/>
            </w:tcBorders>
            <w:shd w:val="clear" w:color="auto" w:fill="1D1752" w:themeFill="text2"/>
          </w:tcPr>
          <w:p w14:paraId="34B3DEA0" w14:textId="77777777" w:rsidR="00767BF8" w:rsidRPr="002F4295" w:rsidDel="007E16EE" w:rsidRDefault="00767BF8" w:rsidP="00C66520">
            <w:pPr>
              <w:pStyle w:val="subheadingblue"/>
              <w:rPr>
                <w:color w:val="FFFFFF" w:themeColor="background1"/>
              </w:rPr>
            </w:pPr>
            <w:r w:rsidRPr="002F4295">
              <w:rPr>
                <w:color w:val="FFFFFF" w:themeColor="background1"/>
              </w:rPr>
              <w:lastRenderedPageBreak/>
              <w:t>Objectives</w:t>
            </w:r>
          </w:p>
        </w:tc>
        <w:tc>
          <w:tcPr>
            <w:tcW w:w="3780" w:type="dxa"/>
            <w:shd w:val="clear" w:color="auto" w:fill="1D1752" w:themeFill="text2"/>
            <w:vAlign w:val="center"/>
          </w:tcPr>
          <w:p w14:paraId="70E383B6" w14:textId="5580F9AB" w:rsidR="007C0997" w:rsidRDefault="00767BF8" w:rsidP="007C0997">
            <w:pPr>
              <w:pStyle w:val="subheadingblue"/>
              <w:rPr>
                <w:color w:val="FFFFFF" w:themeColor="background1"/>
              </w:rPr>
            </w:pPr>
            <w:r w:rsidRPr="002F4295">
              <w:rPr>
                <w:color w:val="FFFFFF" w:themeColor="background1"/>
              </w:rPr>
              <w:t>Activities</w:t>
            </w:r>
          </w:p>
          <w:p w14:paraId="73708247" w14:textId="6340D7B3" w:rsidR="007C0997" w:rsidRPr="002F4295" w:rsidRDefault="007C0997" w:rsidP="007C0997">
            <w:pPr>
              <w:pStyle w:val="subheadingblue"/>
              <w:rPr>
                <w:color w:val="FFFFFF" w:themeColor="background1"/>
              </w:rPr>
            </w:pPr>
            <w:r w:rsidRPr="00C04720">
              <w:rPr>
                <w:rFonts w:ascii="Proxima Nova Rg" w:hAnsi="Proxima Nova Rg"/>
                <w:color w:val="FFFFFF" w:themeColor="background1"/>
                <w:sz w:val="18"/>
                <w:szCs w:val="18"/>
              </w:rPr>
              <w:t>Activity duration are approximate times only</w:t>
            </w:r>
          </w:p>
        </w:tc>
        <w:tc>
          <w:tcPr>
            <w:tcW w:w="5040" w:type="dxa"/>
            <w:shd w:val="clear" w:color="auto" w:fill="1D1752" w:themeFill="text2"/>
            <w:vAlign w:val="center"/>
          </w:tcPr>
          <w:p w14:paraId="3E42DC0C" w14:textId="77777777" w:rsidR="00767BF8" w:rsidRPr="002F4295" w:rsidRDefault="00767BF8" w:rsidP="00C66520">
            <w:pPr>
              <w:pStyle w:val="subheadingblue"/>
              <w:rPr>
                <w:color w:val="FFFFFF" w:themeColor="background1"/>
              </w:rPr>
            </w:pPr>
            <w:r w:rsidRPr="002F4295">
              <w:rPr>
                <w:color w:val="FFFFFF" w:themeColor="background1"/>
              </w:rPr>
              <w:t>Lesson elements</w:t>
            </w:r>
          </w:p>
        </w:tc>
      </w:tr>
      <w:tr w:rsidR="00767BF8" w:rsidRPr="002830CF" w14:paraId="509E0E33" w14:textId="77777777" w:rsidTr="00F828B5">
        <w:trPr>
          <w:trHeight w:val="340"/>
        </w:trPr>
        <w:tc>
          <w:tcPr>
            <w:tcW w:w="10800" w:type="dxa"/>
            <w:gridSpan w:val="3"/>
            <w:tcBorders>
              <w:top w:val="single" w:sz="4" w:space="0" w:color="A5A2BA"/>
            </w:tcBorders>
            <w:shd w:val="clear" w:color="auto" w:fill="E6E7E8"/>
          </w:tcPr>
          <w:p w14:paraId="7F573BCC" w14:textId="632C3E38" w:rsidR="00767BF8" w:rsidRPr="002830CF" w:rsidRDefault="00767BF8" w:rsidP="00C66520">
            <w:pPr>
              <w:pStyle w:val="text-para"/>
              <w:rPr>
                <w:rFonts w:ascii="Museo 500" w:hAnsi="Museo 500"/>
                <w:b/>
                <w:bCs/>
                <w:color w:val="B455A0"/>
              </w:rPr>
            </w:pPr>
            <w:r w:rsidRPr="002830CF">
              <w:rPr>
                <w:rFonts w:ascii="Museo 500" w:hAnsi="Museo 500"/>
                <w:b/>
                <w:bCs/>
                <w:color w:val="B455A0"/>
              </w:rPr>
              <w:t xml:space="preserve">Lesson Two: Explore </w:t>
            </w:r>
            <w:r w:rsidR="009071E5" w:rsidRPr="002830CF">
              <w:rPr>
                <w:rFonts w:ascii="Museo 500" w:hAnsi="Museo 500"/>
                <w:b/>
                <w:bCs/>
                <w:color w:val="B455A0"/>
              </w:rPr>
              <w:t>Work Experience</w:t>
            </w:r>
          </w:p>
        </w:tc>
      </w:tr>
      <w:tr w:rsidR="00767BF8" w:rsidRPr="00511C22" w14:paraId="6ED10600" w14:textId="77777777" w:rsidTr="00F828B5">
        <w:trPr>
          <w:trHeight w:val="227"/>
        </w:trPr>
        <w:tc>
          <w:tcPr>
            <w:tcW w:w="1980" w:type="dxa"/>
            <w:tcBorders>
              <w:top w:val="single" w:sz="4" w:space="0" w:color="A5A2BA"/>
              <w:bottom w:val="single" w:sz="4" w:space="0" w:color="A6A6A6" w:themeColor="background1" w:themeShade="A6"/>
            </w:tcBorders>
            <w:shd w:val="clear" w:color="auto" w:fill="E6E7E8"/>
          </w:tcPr>
          <w:p w14:paraId="54C60EEE" w14:textId="18451DD5" w:rsidR="00767BF8" w:rsidRPr="00EC0C4F" w:rsidRDefault="00FC6CA3" w:rsidP="00FC6CA3">
            <w:pPr>
              <w:pStyle w:val="text-para10ptbullet"/>
              <w:numPr>
                <w:ilvl w:val="0"/>
                <w:numId w:val="0"/>
              </w:numPr>
            </w:pPr>
            <w:r>
              <w:t>Students understand how work experience helps them determine their career pathway.</w:t>
            </w:r>
          </w:p>
        </w:tc>
        <w:tc>
          <w:tcPr>
            <w:tcW w:w="3780" w:type="dxa"/>
            <w:tcBorders>
              <w:top w:val="single" w:sz="4" w:space="0" w:color="A5A2BA"/>
              <w:bottom w:val="single" w:sz="4" w:space="0" w:color="A5A2BA"/>
            </w:tcBorders>
            <w:shd w:val="clear" w:color="auto" w:fill="auto"/>
          </w:tcPr>
          <w:p w14:paraId="4D3794C1" w14:textId="331E450B" w:rsidR="00767BF8" w:rsidRPr="006A7729" w:rsidRDefault="00767BF8" w:rsidP="00C66520">
            <w:pPr>
              <w:pStyle w:val="text-para"/>
              <w:rPr>
                <w:rFonts w:ascii="Museo 500" w:hAnsi="Museo 500"/>
                <w:color w:val="B455A0"/>
              </w:rPr>
            </w:pPr>
            <w:r w:rsidRPr="006A7729">
              <w:rPr>
                <w:rFonts w:ascii="Museo 500" w:hAnsi="Museo 500"/>
                <w:color w:val="B455A0"/>
              </w:rPr>
              <w:t xml:space="preserve">1. </w:t>
            </w:r>
            <w:r w:rsidR="004E4F7F">
              <w:rPr>
                <w:rFonts w:ascii="Museo 500" w:hAnsi="Museo 500"/>
                <w:color w:val="B455A0"/>
              </w:rPr>
              <w:t xml:space="preserve">Introduce </w:t>
            </w:r>
            <w:r w:rsidR="00FC6CA3">
              <w:rPr>
                <w:rFonts w:ascii="Museo 500" w:hAnsi="Museo 500"/>
                <w:color w:val="B455A0"/>
              </w:rPr>
              <w:t>work experience</w:t>
            </w:r>
          </w:p>
          <w:p w14:paraId="68529736" w14:textId="77777777" w:rsidR="00767BF8" w:rsidRPr="002F0F5E" w:rsidRDefault="00767BF8" w:rsidP="00C66520">
            <w:pPr>
              <w:pStyle w:val="text-para"/>
            </w:pPr>
          </w:p>
          <w:p w14:paraId="5A41452E" w14:textId="6AF9D595" w:rsidR="00767BF8" w:rsidRDefault="00262FD6" w:rsidP="00C66520">
            <w:pPr>
              <w:pStyle w:val="text-para"/>
            </w:pPr>
            <w:r>
              <w:t>20-30</w:t>
            </w:r>
            <w:r w:rsidR="00767BF8" w:rsidRPr="002F0F5E">
              <w:t xml:space="preserve"> minutes </w:t>
            </w:r>
            <w:r w:rsidR="00767BF8">
              <w:t>approx.</w:t>
            </w:r>
          </w:p>
          <w:p w14:paraId="095D89A7" w14:textId="77777777" w:rsidR="004E4F7F" w:rsidRDefault="004E4F7F" w:rsidP="00C66520">
            <w:pPr>
              <w:pStyle w:val="text-para"/>
            </w:pPr>
          </w:p>
          <w:p w14:paraId="1507CCB5" w14:textId="77777777" w:rsidR="004E4F7F" w:rsidRPr="007647AD" w:rsidRDefault="004E4F7F" w:rsidP="004E4F7F">
            <w:pPr>
              <w:pStyle w:val="text-para"/>
              <w:rPr>
                <w:b/>
                <w:bCs/>
              </w:rPr>
            </w:pPr>
            <w:r w:rsidRPr="007647AD">
              <w:rPr>
                <w:b/>
                <w:bCs/>
              </w:rPr>
              <w:t xml:space="preserve">Teaching Summary: </w:t>
            </w:r>
          </w:p>
          <w:p w14:paraId="44D3B30A" w14:textId="1BD347F7" w:rsidR="004E4F7F" w:rsidRDefault="004E4F7F" w:rsidP="004E4F7F">
            <w:pPr>
              <w:pStyle w:val="text-para"/>
              <w:rPr>
                <w:i/>
                <w:iCs/>
              </w:rPr>
            </w:pPr>
            <w:r w:rsidRPr="00FC6CA3">
              <w:rPr>
                <w:i/>
                <w:iCs/>
              </w:rPr>
              <w:t xml:space="preserve">Work experience is about testing out </w:t>
            </w:r>
            <w:proofErr w:type="gramStart"/>
            <w:r w:rsidRPr="00FC6CA3">
              <w:rPr>
                <w:i/>
                <w:iCs/>
              </w:rPr>
              <w:t>whether or not</w:t>
            </w:r>
            <w:proofErr w:type="gramEnd"/>
            <w:r w:rsidRPr="00FC6CA3">
              <w:rPr>
                <w:i/>
                <w:iCs/>
              </w:rPr>
              <w:t xml:space="preserve"> you might like a career or not. It’s like ‘try before you buy’ for a career.</w:t>
            </w:r>
            <w:r w:rsidR="00FC6CA3">
              <w:rPr>
                <w:i/>
                <w:iCs/>
              </w:rPr>
              <w:t xml:space="preserve"> Some students might complete work experience only to find they are no longer interested in a particular career.</w:t>
            </w:r>
          </w:p>
          <w:p w14:paraId="137C9325" w14:textId="77777777" w:rsidR="00FC6CA3" w:rsidRPr="00FC6CA3" w:rsidRDefault="00FC6CA3" w:rsidP="004E4F7F">
            <w:pPr>
              <w:pStyle w:val="text-para"/>
              <w:rPr>
                <w:i/>
                <w:iCs/>
              </w:rPr>
            </w:pPr>
          </w:p>
          <w:p w14:paraId="437FF06C" w14:textId="462998B2" w:rsidR="004E4F7F" w:rsidRPr="008A0DC7" w:rsidRDefault="004E4F7F" w:rsidP="004E4F7F">
            <w:pPr>
              <w:pStyle w:val="text-para"/>
              <w:rPr>
                <w:rFonts w:asciiTheme="majorHAnsi" w:hAnsiTheme="majorHAnsi"/>
                <w:color w:val="B455A0" w:themeColor="accent1"/>
              </w:rPr>
            </w:pPr>
          </w:p>
        </w:tc>
        <w:tc>
          <w:tcPr>
            <w:tcW w:w="5040" w:type="dxa"/>
            <w:tcBorders>
              <w:top w:val="single" w:sz="4" w:space="0" w:color="A5A2BA"/>
              <w:bottom w:val="single" w:sz="4" w:space="0" w:color="A5A2BA"/>
            </w:tcBorders>
          </w:tcPr>
          <w:p w14:paraId="580A4EE0" w14:textId="77777777" w:rsidR="001B5C09" w:rsidRDefault="00FC6CA3" w:rsidP="00C66520">
            <w:pPr>
              <w:pStyle w:val="text-para"/>
            </w:pPr>
            <w:r>
              <w:t xml:space="preserve">Students will draft a letter to a company, workplace, or person they know to request the opportunity to complete work experience there. </w:t>
            </w:r>
            <w:r w:rsidR="00E52C1C">
              <w:t>This will be written like a letter of consideration or job application.</w:t>
            </w:r>
          </w:p>
          <w:p w14:paraId="547C105C" w14:textId="26155CFB" w:rsidR="00FC6CA3" w:rsidRDefault="00E52C1C" w:rsidP="00B81248">
            <w:pPr>
              <w:pStyle w:val="text-para"/>
              <w:spacing w:before="120"/>
            </w:pPr>
            <w:r>
              <w:t>Students will need to consider the following:</w:t>
            </w:r>
          </w:p>
          <w:p w14:paraId="2AC04E83" w14:textId="255ACE48" w:rsidR="00E52C1C" w:rsidRDefault="00E52C1C" w:rsidP="001B5C09">
            <w:pPr>
              <w:pStyle w:val="bulletpurple"/>
            </w:pPr>
            <w:r>
              <w:t>The benefits to the employer for taking on a work experience student</w:t>
            </w:r>
          </w:p>
          <w:p w14:paraId="27A85775" w14:textId="628C7DF6" w:rsidR="00E52C1C" w:rsidRDefault="00E52C1C" w:rsidP="001B5C09">
            <w:pPr>
              <w:pStyle w:val="bulletpurple"/>
            </w:pPr>
            <w:r>
              <w:t>The specific skills the student can offer</w:t>
            </w:r>
          </w:p>
          <w:p w14:paraId="09B8F576" w14:textId="76DE23C6" w:rsidR="00E52C1C" w:rsidRDefault="00E52C1C" w:rsidP="001B5C09">
            <w:pPr>
              <w:pStyle w:val="bulletpurple"/>
            </w:pPr>
            <w:r>
              <w:t>Why the student particularly wants to have work experience at this place</w:t>
            </w:r>
          </w:p>
          <w:p w14:paraId="38C2E47A" w14:textId="180686C4" w:rsidR="00E52C1C" w:rsidRDefault="00C4086F" w:rsidP="00B81248">
            <w:pPr>
              <w:pStyle w:val="text-para"/>
              <w:spacing w:before="120"/>
            </w:pPr>
            <w:r w:rsidRPr="00500F09">
              <w:rPr>
                <w:color w:val="B455A0" w:themeColor="accent1"/>
              </w:rPr>
              <w:t>Resource</w:t>
            </w:r>
            <w:r>
              <w:t xml:space="preserve">: </w:t>
            </w:r>
            <w:hyperlink r:id="rId17" w:history="1">
              <w:r>
                <w:rPr>
                  <w:rStyle w:val="Hyperlink"/>
                </w:rPr>
                <w:t>C</w:t>
              </w:r>
              <w:r w:rsidRPr="00C4086F">
                <w:rPr>
                  <w:rStyle w:val="Hyperlink"/>
                </w:rPr>
                <w:t>reating a job application</w:t>
              </w:r>
            </w:hyperlink>
          </w:p>
          <w:p w14:paraId="23C8F0F7" w14:textId="1C8D1C5E" w:rsidR="00810A56" w:rsidRPr="00810A56" w:rsidRDefault="00FC6CA3" w:rsidP="007C0997">
            <w:pPr>
              <w:pStyle w:val="text-para"/>
            </w:pPr>
            <w:r>
              <w:t xml:space="preserve">If students are unsure where to start for work experience opportunities, </w:t>
            </w:r>
            <w:hyperlink r:id="rId18" w:history="1">
              <w:r w:rsidRPr="000F45A8">
                <w:t>this</w:t>
              </w:r>
              <w:r w:rsidRPr="00FC6CA3">
                <w:rPr>
                  <w:rStyle w:val="Hyperlink"/>
                </w:rPr>
                <w:t xml:space="preserve"> </w:t>
              </w:r>
              <w:proofErr w:type="spellStart"/>
              <w:r w:rsidRPr="00FC6CA3">
                <w:rPr>
                  <w:rStyle w:val="Hyperlink"/>
                </w:rPr>
                <w:t>myWAY</w:t>
              </w:r>
              <w:proofErr w:type="spellEnd"/>
              <w:r w:rsidRPr="00FC6CA3">
                <w:rPr>
                  <w:rStyle w:val="Hyperlink"/>
                </w:rPr>
                <w:t xml:space="preserve"> Employability article</w:t>
              </w:r>
            </w:hyperlink>
            <w:r>
              <w:t xml:space="preserve"> on undertaking work experience and internships has several useful links. </w:t>
            </w:r>
          </w:p>
        </w:tc>
      </w:tr>
      <w:tr w:rsidR="00FC6CA3" w:rsidRPr="00511C22" w14:paraId="4F3F1D22" w14:textId="77777777" w:rsidTr="00D16AD1">
        <w:trPr>
          <w:trHeight w:val="6639"/>
        </w:trPr>
        <w:tc>
          <w:tcPr>
            <w:tcW w:w="1980" w:type="dxa"/>
            <w:tcBorders>
              <w:top w:val="single" w:sz="4" w:space="0" w:color="A6A6A6" w:themeColor="background1" w:themeShade="A6"/>
              <w:bottom w:val="single" w:sz="4" w:space="0" w:color="A6A6A6" w:themeColor="background1" w:themeShade="A6"/>
            </w:tcBorders>
            <w:shd w:val="clear" w:color="auto" w:fill="E6E7E8"/>
          </w:tcPr>
          <w:p w14:paraId="303286BE" w14:textId="77777777" w:rsidR="00FC6CA3" w:rsidRPr="00C66520" w:rsidRDefault="00FC6CA3" w:rsidP="00FC6CA3">
            <w:pPr>
              <w:pStyle w:val="text-para10ptbullet"/>
              <w:numPr>
                <w:ilvl w:val="0"/>
                <w:numId w:val="0"/>
              </w:numPr>
            </w:pPr>
            <w:r w:rsidRPr="00C66520">
              <w:t xml:space="preserve">Students will </w:t>
            </w:r>
            <w:r>
              <w:t xml:space="preserve">roleplay common work experiences. </w:t>
            </w:r>
          </w:p>
          <w:p w14:paraId="63E018C5" w14:textId="1595D5AA" w:rsidR="00FC6CA3" w:rsidRPr="00C66520" w:rsidRDefault="00FC6CA3" w:rsidP="00FC6CA3">
            <w:pPr>
              <w:pStyle w:val="text-para10ptbullet"/>
              <w:numPr>
                <w:ilvl w:val="0"/>
                <w:numId w:val="0"/>
              </w:numPr>
            </w:pPr>
          </w:p>
        </w:tc>
        <w:tc>
          <w:tcPr>
            <w:tcW w:w="3780" w:type="dxa"/>
            <w:tcBorders>
              <w:top w:val="single" w:sz="4" w:space="0" w:color="A5A2BA"/>
              <w:bottom w:val="single" w:sz="4" w:space="0" w:color="A5A2BA"/>
            </w:tcBorders>
            <w:shd w:val="clear" w:color="auto" w:fill="auto"/>
          </w:tcPr>
          <w:p w14:paraId="7DE6D871" w14:textId="51DA0A5A" w:rsidR="00FC6CA3" w:rsidRPr="006A7729" w:rsidRDefault="00FC6CA3" w:rsidP="00FC6CA3">
            <w:pPr>
              <w:pStyle w:val="text-para"/>
              <w:rPr>
                <w:rFonts w:ascii="Museo 500" w:hAnsi="Museo 500"/>
                <w:color w:val="B455A0"/>
              </w:rPr>
            </w:pPr>
            <w:r>
              <w:rPr>
                <w:rFonts w:ascii="Museo 500" w:hAnsi="Museo 500"/>
                <w:color w:val="B455A0"/>
              </w:rPr>
              <w:t>2</w:t>
            </w:r>
            <w:r w:rsidRPr="006A7729">
              <w:rPr>
                <w:rFonts w:ascii="Museo 500" w:hAnsi="Museo 500"/>
                <w:color w:val="B455A0"/>
              </w:rPr>
              <w:t xml:space="preserve">. </w:t>
            </w:r>
            <w:r>
              <w:rPr>
                <w:rFonts w:ascii="Museo 500" w:hAnsi="Museo 500"/>
                <w:color w:val="B455A0"/>
              </w:rPr>
              <w:t>Explain roleplays</w:t>
            </w:r>
          </w:p>
          <w:p w14:paraId="1C0A5AF8" w14:textId="77777777" w:rsidR="00FC6CA3" w:rsidRPr="002F0F5E" w:rsidRDefault="00FC6CA3" w:rsidP="00FC6CA3">
            <w:pPr>
              <w:pStyle w:val="text-para"/>
            </w:pPr>
          </w:p>
          <w:p w14:paraId="31879284" w14:textId="54508F92" w:rsidR="00FC6CA3" w:rsidRPr="002F0F5E" w:rsidRDefault="00FC6CA3" w:rsidP="00FC6CA3">
            <w:pPr>
              <w:pStyle w:val="text-para"/>
              <w:rPr>
                <w:rFonts w:asciiTheme="majorHAnsi" w:hAnsiTheme="majorHAnsi"/>
                <w:color w:val="B455A0" w:themeColor="accent1"/>
              </w:rPr>
            </w:pPr>
            <w:r w:rsidRPr="002F0F5E">
              <w:t>10–</w:t>
            </w:r>
            <w:r>
              <w:t>15</w:t>
            </w:r>
            <w:r w:rsidRPr="002F0F5E">
              <w:t xml:space="preserve"> minutes </w:t>
            </w:r>
            <w:r>
              <w:t>approx.</w:t>
            </w:r>
          </w:p>
        </w:tc>
        <w:tc>
          <w:tcPr>
            <w:tcW w:w="5040" w:type="dxa"/>
            <w:tcBorders>
              <w:top w:val="single" w:sz="4" w:space="0" w:color="A5A2BA"/>
              <w:bottom w:val="single" w:sz="4" w:space="0" w:color="A5A2BA"/>
            </w:tcBorders>
          </w:tcPr>
          <w:p w14:paraId="562235F1" w14:textId="6B20AC30" w:rsidR="007C0997" w:rsidRDefault="001968E1" w:rsidP="00FC6CA3">
            <w:pPr>
              <w:pStyle w:val="text-para"/>
            </w:pPr>
            <w:r>
              <w:t>Introduce the articles</w:t>
            </w:r>
            <w:r w:rsidR="007C0997">
              <w:t>:</w:t>
            </w:r>
            <w:r>
              <w:t xml:space="preserve"> </w:t>
            </w:r>
          </w:p>
          <w:p w14:paraId="4A99034E" w14:textId="77777777" w:rsidR="007C0997" w:rsidRDefault="00D16AD1" w:rsidP="007C0997">
            <w:pPr>
              <w:pStyle w:val="bulletpurple"/>
            </w:pPr>
            <w:hyperlink r:id="rId19" w:history="1">
              <w:r w:rsidR="001968E1" w:rsidRPr="001968E1">
                <w:rPr>
                  <w:rStyle w:val="Hyperlink"/>
                </w:rPr>
                <w:t>Rights and responsibilities at work</w:t>
              </w:r>
            </w:hyperlink>
            <w:r w:rsidR="00C4086F">
              <w:t xml:space="preserve"> </w:t>
            </w:r>
          </w:p>
          <w:p w14:paraId="72B745E6" w14:textId="317758DE" w:rsidR="001968E1" w:rsidRDefault="00D16AD1" w:rsidP="007C0997">
            <w:pPr>
              <w:pStyle w:val="bulletpurple"/>
            </w:pPr>
            <w:hyperlink r:id="rId20" w:history="1">
              <w:r w:rsidR="00C4086F" w:rsidRPr="00C4086F">
                <w:rPr>
                  <w:rStyle w:val="Hyperlink"/>
                </w:rPr>
                <w:t>Giving and receiving feedback at work</w:t>
              </w:r>
              <w:r w:rsidR="000F45A8">
                <w:rPr>
                  <w:rStyle w:val="Hyperlink"/>
                </w:rPr>
                <w:t>.</w:t>
              </w:r>
              <w:r w:rsidR="00C4086F" w:rsidRPr="00C4086F">
                <w:rPr>
                  <w:rStyle w:val="Hyperlink"/>
                </w:rPr>
                <w:t xml:space="preserve"> </w:t>
              </w:r>
            </w:hyperlink>
            <w:r w:rsidR="001968E1">
              <w:t xml:space="preserve"> </w:t>
            </w:r>
          </w:p>
          <w:p w14:paraId="13F7E270" w14:textId="45FDE580" w:rsidR="00C4086F" w:rsidRDefault="00C4086F" w:rsidP="00FA3A4B">
            <w:pPr>
              <w:pStyle w:val="text-para"/>
              <w:spacing w:before="120" w:after="120"/>
            </w:pPr>
            <w:r>
              <w:t>As a class brainstorm the key ideas and write these on the board.</w:t>
            </w:r>
          </w:p>
          <w:p w14:paraId="31A0A5B6" w14:textId="2AE8FF3D" w:rsidR="00FC6CA3" w:rsidRDefault="00FC6CA3" w:rsidP="00FC6CA3">
            <w:pPr>
              <w:pStyle w:val="text-para"/>
            </w:pPr>
            <w:r>
              <w:t>Depending on your students’ skills and time allowed for this activity, choose one of the following:</w:t>
            </w:r>
          </w:p>
          <w:p w14:paraId="7B021081" w14:textId="77777777" w:rsidR="00FC6CA3" w:rsidRDefault="00FC6CA3" w:rsidP="003A66E2">
            <w:pPr>
              <w:pStyle w:val="bulletpurple"/>
            </w:pPr>
            <w:r>
              <w:t>Show peer-modelling work experience role-play videos from the Plan section</w:t>
            </w:r>
          </w:p>
          <w:p w14:paraId="19401974" w14:textId="77777777" w:rsidR="00FC6CA3" w:rsidRDefault="00FC6CA3" w:rsidP="003A66E2">
            <w:pPr>
              <w:pStyle w:val="bulletpurple"/>
            </w:pPr>
            <w:r>
              <w:t>Offer students several scenarios that they must role-play (either in pairs or in front of the class)</w:t>
            </w:r>
          </w:p>
          <w:p w14:paraId="4B1D42E5" w14:textId="77777777" w:rsidR="00FC6CA3" w:rsidRDefault="00FC6CA3" w:rsidP="00B81248">
            <w:pPr>
              <w:pStyle w:val="text-para"/>
              <w:spacing w:before="120"/>
            </w:pPr>
            <w:r>
              <w:t>Suggested scenarios can include:</w:t>
            </w:r>
          </w:p>
          <w:p w14:paraId="3C9C172B" w14:textId="77777777" w:rsidR="00FC6CA3" w:rsidRDefault="00FC6CA3" w:rsidP="003A66E2">
            <w:pPr>
              <w:pStyle w:val="bulletpurple"/>
            </w:pPr>
            <w:r>
              <w:t>You are a work experience student and are running late for your first day.</w:t>
            </w:r>
          </w:p>
          <w:p w14:paraId="4B31AD81" w14:textId="77777777" w:rsidR="00FC6CA3" w:rsidRDefault="00FC6CA3" w:rsidP="003A66E2">
            <w:pPr>
              <w:pStyle w:val="bulletpurple"/>
            </w:pPr>
            <w:r>
              <w:t>You are receiving feedback on how you are going on work experience from your workplace key contact person.</w:t>
            </w:r>
          </w:p>
          <w:p w14:paraId="4BDA0262" w14:textId="77777777" w:rsidR="00FC6CA3" w:rsidRDefault="00FC6CA3" w:rsidP="003A66E2">
            <w:pPr>
              <w:pStyle w:val="bulletpurple"/>
            </w:pPr>
            <w:r>
              <w:t>You don’t understand something that you are supposed to do on your work experience.</w:t>
            </w:r>
          </w:p>
          <w:p w14:paraId="12CFF6E3" w14:textId="1AABDA34" w:rsidR="00FC6CA3" w:rsidRPr="00B81545" w:rsidRDefault="00FC6CA3" w:rsidP="00B81248">
            <w:pPr>
              <w:pStyle w:val="text-para"/>
              <w:spacing w:before="120"/>
            </w:pPr>
            <w:r>
              <w:t>Students can reflect on and discuss each of these scenarios with their partner or the rest of the class.</w:t>
            </w:r>
          </w:p>
        </w:tc>
      </w:tr>
      <w:tr w:rsidR="004E4F7F" w:rsidRPr="00511C22" w14:paraId="31EEE664" w14:textId="77777777" w:rsidTr="00B81248">
        <w:trPr>
          <w:trHeight w:val="1499"/>
        </w:trPr>
        <w:tc>
          <w:tcPr>
            <w:tcW w:w="1980" w:type="dxa"/>
            <w:tcBorders>
              <w:top w:val="single" w:sz="4" w:space="0" w:color="A6A6A6" w:themeColor="background1" w:themeShade="A6"/>
              <w:bottom w:val="single" w:sz="4" w:space="0" w:color="A5A2BA"/>
            </w:tcBorders>
            <w:shd w:val="clear" w:color="auto" w:fill="E6E7E8"/>
          </w:tcPr>
          <w:p w14:paraId="434D83CF" w14:textId="0DD12B66" w:rsidR="004E4F7F" w:rsidRPr="00C66520" w:rsidRDefault="004E4F7F" w:rsidP="004E4F7F">
            <w:pPr>
              <w:pStyle w:val="text-para10ptbullet"/>
              <w:numPr>
                <w:ilvl w:val="0"/>
                <w:numId w:val="0"/>
              </w:numPr>
            </w:pPr>
            <w:r w:rsidRPr="00C66520">
              <w:t xml:space="preserve">Students begin to understand </w:t>
            </w:r>
            <w:r w:rsidR="00262FD6">
              <w:t>how workplace safety affects their job.</w:t>
            </w:r>
          </w:p>
          <w:p w14:paraId="0FC6699A" w14:textId="77777777" w:rsidR="004E4F7F" w:rsidRPr="00C66520" w:rsidRDefault="004E4F7F" w:rsidP="004E4F7F">
            <w:pPr>
              <w:pStyle w:val="text-para10ptbullet"/>
              <w:numPr>
                <w:ilvl w:val="0"/>
                <w:numId w:val="0"/>
              </w:numPr>
            </w:pPr>
          </w:p>
        </w:tc>
        <w:tc>
          <w:tcPr>
            <w:tcW w:w="3780" w:type="dxa"/>
            <w:tcBorders>
              <w:top w:val="single" w:sz="4" w:space="0" w:color="A5A2BA"/>
              <w:bottom w:val="single" w:sz="4" w:space="0" w:color="A5A2BA"/>
            </w:tcBorders>
            <w:shd w:val="clear" w:color="auto" w:fill="auto"/>
          </w:tcPr>
          <w:p w14:paraId="3348BEF9" w14:textId="07DBA98B" w:rsidR="00262FD6" w:rsidRPr="006A7729" w:rsidRDefault="00262FD6" w:rsidP="00262FD6">
            <w:pPr>
              <w:pStyle w:val="text-para"/>
              <w:rPr>
                <w:rFonts w:ascii="Museo 500" w:hAnsi="Museo 500"/>
                <w:color w:val="B455A0"/>
              </w:rPr>
            </w:pPr>
            <w:r>
              <w:rPr>
                <w:rFonts w:ascii="Museo 500" w:hAnsi="Museo 500"/>
                <w:color w:val="B455A0"/>
              </w:rPr>
              <w:t>3</w:t>
            </w:r>
            <w:r w:rsidRPr="006A7729">
              <w:rPr>
                <w:rFonts w:ascii="Museo 500" w:hAnsi="Museo 500"/>
                <w:color w:val="B455A0"/>
              </w:rPr>
              <w:t xml:space="preserve">. </w:t>
            </w:r>
            <w:r>
              <w:rPr>
                <w:rFonts w:ascii="Museo 500" w:hAnsi="Museo 500"/>
                <w:color w:val="B455A0"/>
              </w:rPr>
              <w:t>Complete workplace safety worksheet</w:t>
            </w:r>
          </w:p>
          <w:p w14:paraId="08D3371E" w14:textId="77777777" w:rsidR="00262FD6" w:rsidRPr="002F0F5E" w:rsidRDefault="00262FD6" w:rsidP="00262FD6">
            <w:pPr>
              <w:pStyle w:val="text-para"/>
            </w:pPr>
          </w:p>
          <w:p w14:paraId="5C4FD674" w14:textId="29F63984" w:rsidR="004E4F7F" w:rsidRPr="008A0DC7" w:rsidRDefault="00262FD6" w:rsidP="00262FD6">
            <w:pPr>
              <w:pStyle w:val="text-para"/>
              <w:rPr>
                <w:rFonts w:asciiTheme="majorHAnsi" w:hAnsiTheme="majorHAnsi"/>
                <w:noProof/>
                <w:color w:val="B455A0" w:themeColor="accent1"/>
              </w:rPr>
            </w:pPr>
            <w:r w:rsidRPr="002F0F5E">
              <w:t>10–</w:t>
            </w:r>
            <w:r>
              <w:t>15</w:t>
            </w:r>
            <w:r w:rsidRPr="002F0F5E">
              <w:t xml:space="preserve"> minutes </w:t>
            </w:r>
            <w:r>
              <w:t>approx.</w:t>
            </w:r>
          </w:p>
        </w:tc>
        <w:tc>
          <w:tcPr>
            <w:tcW w:w="5040" w:type="dxa"/>
            <w:tcBorders>
              <w:top w:val="single" w:sz="4" w:space="0" w:color="A5A2BA"/>
              <w:bottom w:val="single" w:sz="4" w:space="0" w:color="A5A2BA"/>
            </w:tcBorders>
          </w:tcPr>
          <w:p w14:paraId="37A78D92" w14:textId="78F7470F" w:rsidR="004E4F7F" w:rsidRPr="00B330F9" w:rsidRDefault="00262FD6" w:rsidP="004E4F7F">
            <w:pPr>
              <w:pStyle w:val="text-para"/>
            </w:pPr>
            <w:r>
              <w:t>Students finish off the lesson by completing the workplace safety student worksheet, which examines certain occupations that require protective equipment or PPE, as well as interpersonal safety.</w:t>
            </w:r>
          </w:p>
        </w:tc>
      </w:tr>
    </w:tbl>
    <w:p w14:paraId="350967B1" w14:textId="1FF5F9E8" w:rsidR="00767BF8" w:rsidRDefault="00767BF8" w:rsidP="00FA3A4B"/>
    <w:sectPr w:rsidR="00767BF8" w:rsidSect="00A82BF7">
      <w:headerReference w:type="even" r:id="rId21"/>
      <w:headerReference w:type="default" r:id="rId22"/>
      <w:footerReference w:type="default" r:id="rId23"/>
      <w:headerReference w:type="first" r:id="rId24"/>
      <w:footerReference w:type="first" r:id="rId25"/>
      <w:pgSz w:w="11906" w:h="16838" w:code="9"/>
      <w:pgMar w:top="851" w:right="567" w:bottom="1247" w:left="567" w:header="567" w:footer="567"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660C" w14:textId="77777777" w:rsidR="004734AD" w:rsidRDefault="004E3AD0">
      <w:pPr>
        <w:spacing w:after="0" w:line="240" w:lineRule="auto"/>
      </w:pPr>
      <w:r>
        <w:separator/>
      </w:r>
    </w:p>
  </w:endnote>
  <w:endnote w:type="continuationSeparator" w:id="0">
    <w:p w14:paraId="46472C06" w14:textId="77777777" w:rsidR="004734AD" w:rsidRDefault="004E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Proxima Nova Rg"/>
    <w:panose1 w:val="02000506030000020004"/>
    <w:charset w:val="00"/>
    <w:family w:val="modern"/>
    <w:notTrueType/>
    <w:pitch w:val="variable"/>
    <w:sig w:usb0="A00002EF" w:usb1="5000E0FB" w:usb2="00000000" w:usb3="00000000" w:csb0="0000019F" w:csb1="00000000"/>
  </w:font>
  <w:font w:name="Museo 500">
    <w:altName w:val="Museo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F3DA" w14:textId="6971B18A" w:rsidR="00E52773" w:rsidRPr="001238FA" w:rsidRDefault="00DE31CB" w:rsidP="001238FA">
    <w:pPr>
      <w:pStyle w:val="copyrightfooter"/>
    </w:pPr>
    <w:r>
      <w:rPr>
        <w:noProof/>
      </w:rPr>
      <mc:AlternateContent>
        <mc:Choice Requires="wps">
          <w:drawing>
            <wp:anchor distT="45720" distB="45720" distL="114300" distR="114300" simplePos="0" relativeHeight="251660800" behindDoc="0" locked="0" layoutInCell="1" allowOverlap="1" wp14:anchorId="069BB858" wp14:editId="010A801E">
              <wp:simplePos x="0" y="0"/>
              <wp:positionH relativeFrom="column">
                <wp:posOffset>4434205</wp:posOffset>
              </wp:positionH>
              <wp:positionV relativeFrom="paragraph">
                <wp:posOffset>77470</wp:posOffset>
              </wp:positionV>
              <wp:extent cx="2489200" cy="2794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79400"/>
                      </a:xfrm>
                      <a:prstGeom prst="rect">
                        <a:avLst/>
                      </a:prstGeom>
                      <a:solidFill>
                        <a:srgbClr val="FFFFFF"/>
                      </a:solidFill>
                      <a:ln w="9525">
                        <a:noFill/>
                        <a:miter lim="800000"/>
                        <a:headEnd/>
                        <a:tailEnd/>
                      </a:ln>
                    </wps:spPr>
                    <wps:txbx>
                      <w:txbxContent>
                        <w:p w14:paraId="042870FB" w14:textId="420B16AA" w:rsidR="00DE31CB" w:rsidRPr="00DE31CB" w:rsidRDefault="00DE31CB">
                          <w:pPr>
                            <w:rPr>
                              <w:i/>
                              <w:iCs/>
                              <w:sz w:val="18"/>
                              <w:szCs w:val="18"/>
                            </w:rPr>
                          </w:pPr>
                          <w:r w:rsidRPr="00DE31CB">
                            <w:rPr>
                              <w:i/>
                              <w:iCs/>
                              <w:sz w:val="18"/>
                              <w:szCs w:val="18"/>
                            </w:rPr>
                            <w:t>© Autism CRC</w:t>
                          </w:r>
                          <w:r w:rsidR="00391EB0">
                            <w:rPr>
                              <w:i/>
                              <w:iCs/>
                              <w:sz w:val="18"/>
                              <w:szCs w:val="18"/>
                            </w:rPr>
                            <w:t>, 2022</w:t>
                          </w:r>
                          <w:r w:rsidRPr="00DE31CB">
                            <w:rPr>
                              <w:i/>
                              <w:iCs/>
                              <w:sz w:val="18"/>
                              <w:szCs w:val="18"/>
                            </w:rPr>
                            <w:t>.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BB858" id="_x0000_t202" coordsize="21600,21600" o:spt="202" path="m,l,21600r21600,l21600,xe">
              <v:stroke joinstyle="miter"/>
              <v:path gradientshapeok="t" o:connecttype="rect"/>
            </v:shapetype>
            <v:shape id="Text Box 2" o:spid="_x0000_s1026" type="#_x0000_t202" style="position:absolute;left:0;text-align:left;margin-left:349.15pt;margin-top:6.1pt;width:196pt;height:2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" stroked="f">
              <v:textbox>
                <w:txbxContent>
                  <w:p w14:paraId="042870FB" w14:textId="420B16AA" w:rsidR="00DE31CB" w:rsidRPr="00DE31CB" w:rsidRDefault="00DE31CB">
                    <w:pPr>
                      <w:rPr>
                        <w:i/>
                        <w:iCs/>
                        <w:sz w:val="18"/>
                        <w:szCs w:val="18"/>
                      </w:rPr>
                    </w:pPr>
                    <w:r w:rsidRPr="00DE31CB">
                      <w:rPr>
                        <w:i/>
                        <w:iCs/>
                        <w:sz w:val="18"/>
                        <w:szCs w:val="18"/>
                      </w:rPr>
                      <w:t>© Autism CRC</w:t>
                    </w:r>
                    <w:r w:rsidR="00391EB0">
                      <w:rPr>
                        <w:i/>
                        <w:iCs/>
                        <w:sz w:val="18"/>
                        <w:szCs w:val="18"/>
                      </w:rPr>
                      <w:t>, 2022</w:t>
                    </w:r>
                    <w:r w:rsidRPr="00DE31CB">
                      <w:rPr>
                        <w:i/>
                        <w:iCs/>
                        <w:sz w:val="18"/>
                        <w:szCs w:val="18"/>
                      </w:rPr>
                      <w:t>. All rights reserved.</w:t>
                    </w:r>
                  </w:p>
                </w:txbxContent>
              </v:textbox>
              <w10:wrap type="square"/>
            </v:shape>
          </w:pict>
        </mc:Fallback>
      </mc:AlternateContent>
    </w:r>
    <w:r w:rsidRPr="001238FA">
      <w:rPr>
        <w:noProof/>
      </w:rPr>
      <w:drawing>
        <wp:anchor distT="0" distB="0" distL="114300" distR="114300" simplePos="0" relativeHeight="251654656" behindDoc="0" locked="0" layoutInCell="1" allowOverlap="1" wp14:anchorId="04503DA0" wp14:editId="2AB3498C">
          <wp:simplePos x="0" y="0"/>
          <wp:positionH relativeFrom="page">
            <wp:posOffset>360045</wp:posOffset>
          </wp:positionH>
          <wp:positionV relativeFrom="page">
            <wp:posOffset>10252710</wp:posOffset>
          </wp:positionV>
          <wp:extent cx="2880000" cy="295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9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BF8" w:rsidRPr="001238FA">
      <w:rPr>
        <w:noProof/>
      </w:rPr>
      <mc:AlternateContent>
        <mc:Choice Requires="wps">
          <w:drawing>
            <wp:anchor distT="0" distB="0" distL="114300" distR="114300" simplePos="0" relativeHeight="251657728" behindDoc="0" locked="1" layoutInCell="1" allowOverlap="1" wp14:anchorId="0ABE3888" wp14:editId="1EAFA972">
              <wp:simplePos x="0" y="0"/>
              <wp:positionH relativeFrom="page">
                <wp:posOffset>0</wp:posOffset>
              </wp:positionH>
              <wp:positionV relativeFrom="page">
                <wp:posOffset>10153015</wp:posOffset>
              </wp:positionV>
              <wp:extent cx="7560000" cy="0"/>
              <wp:effectExtent l="0" t="38100" r="60325" b="57150"/>
              <wp:wrapNone/>
              <wp:docPr id="5" name="Straight Connector 5"/>
              <wp:cNvGraphicFramePr/>
              <a:graphic xmlns:a="http://schemas.openxmlformats.org/drawingml/2006/main">
                <a:graphicData uri="http://schemas.microsoft.com/office/word/2010/wordprocessingShape">
                  <wps:wsp>
                    <wps:cNvCnPr/>
                    <wps:spPr>
                      <a:xfrm>
                        <a:off x="0" y="0"/>
                        <a:ext cx="7560000" cy="0"/>
                      </a:xfrm>
                      <a:prstGeom prst="line">
                        <a:avLst/>
                      </a:prstGeom>
                      <a:ln w="920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961BE"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99.45pt" to="595.3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" strokecolor="#b455a0 [3204]" strokeweight="7.25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277C" w14:textId="77777777" w:rsidR="000A2C84" w:rsidRDefault="00767BF8">
    <w:pPr>
      <w:pStyle w:val="Footer"/>
    </w:pPr>
    <w:r>
      <w:rPr>
        <w:noProof/>
      </w:rPr>
      <w:drawing>
        <wp:anchor distT="0" distB="0" distL="114300" distR="114300" simplePos="0" relativeHeight="251656704" behindDoc="0" locked="1" layoutInCell="1" allowOverlap="1" wp14:anchorId="5592756B" wp14:editId="0BE734C7">
          <wp:simplePos x="0" y="0"/>
          <wp:positionH relativeFrom="column">
            <wp:posOffset>-499745</wp:posOffset>
          </wp:positionH>
          <wp:positionV relativeFrom="paragraph">
            <wp:posOffset>-320675</wp:posOffset>
          </wp:positionV>
          <wp:extent cx="7699375" cy="8807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9375" cy="8807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3BD9" w14:textId="77777777" w:rsidR="004734AD" w:rsidRDefault="004E3AD0">
      <w:pPr>
        <w:spacing w:after="0" w:line="240" w:lineRule="auto"/>
      </w:pPr>
      <w:r>
        <w:separator/>
      </w:r>
    </w:p>
  </w:footnote>
  <w:footnote w:type="continuationSeparator" w:id="0">
    <w:p w14:paraId="5D6AED0A" w14:textId="77777777" w:rsidR="004734AD" w:rsidRDefault="004E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E554" w14:textId="77777777" w:rsidR="001E729F" w:rsidRDefault="00D16AD1">
    <w:pPr>
      <w:pStyle w:val="Header"/>
    </w:pPr>
    <w:r>
      <w:rPr>
        <w:noProof/>
        <w:lang w:eastAsia="en-AU"/>
      </w:rPr>
      <w:pict w14:anchorId="5FF7A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7641" o:spid="_x0000_s1025" type="#_x0000_t75" alt="" style="position:absolute;margin-left:0;margin-top:0;width:577.55pt;height:816.85pt;z-index:-251654656;mso-wrap-edited:f;mso-width-percent:0;mso-height-percent:0;mso-position-horizontal:center;mso-position-horizontal-relative:margin;mso-position-vertical:center;mso-position-vertical-relative:margin;mso-width-percent:0;mso-height-percent:0" o:allowincell="f">
          <v:imagedata r:id="rId1" o:title="InclusionEDPoste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CA4D" w14:textId="77777777" w:rsidR="001E729F" w:rsidRDefault="00767BF8">
    <w:pPr>
      <w:pStyle w:val="Header"/>
    </w:pPr>
    <w:r>
      <w:rPr>
        <w:noProof/>
        <w:lang w:eastAsia="en-AU"/>
      </w:rPr>
      <mc:AlternateContent>
        <mc:Choice Requires="wps">
          <w:drawing>
            <wp:anchor distT="0" distB="0" distL="114300" distR="114300" simplePos="0" relativeHeight="251653632" behindDoc="0" locked="1" layoutInCell="1" allowOverlap="1" wp14:anchorId="4B427AC9" wp14:editId="03ABA550">
              <wp:simplePos x="0" y="0"/>
              <wp:positionH relativeFrom="page">
                <wp:posOffset>0</wp:posOffset>
              </wp:positionH>
              <wp:positionV relativeFrom="page">
                <wp:posOffset>82550</wp:posOffset>
              </wp:positionV>
              <wp:extent cx="7560000" cy="0"/>
              <wp:effectExtent l="0" t="76200" r="60325" b="95250"/>
              <wp:wrapNone/>
              <wp:docPr id="16" name="Straight Connector 16"/>
              <wp:cNvGraphicFramePr/>
              <a:graphic xmlns:a="http://schemas.openxmlformats.org/drawingml/2006/main">
                <a:graphicData uri="http://schemas.microsoft.com/office/word/2010/wordprocessingShape">
                  <wps:wsp>
                    <wps:cNvCnPr/>
                    <wps:spPr>
                      <a:xfrm>
                        <a:off x="0" y="0"/>
                        <a:ext cx="7560000" cy="0"/>
                      </a:xfrm>
                      <a:prstGeom prst="line">
                        <a:avLst/>
                      </a:prstGeom>
                      <a:ln w="165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12BD7" id="Straight Connector 16" o:spid="_x0000_s1026" style="position:absolute;z-index:2516536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5pt" to="59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" strokecolor="#b455a0 [3204]" strokeweight="13pt">
              <v:stroke joinstyle="miter"/>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8207" w14:textId="77777777" w:rsidR="001E729F" w:rsidRDefault="00767BF8">
    <w:pPr>
      <w:pStyle w:val="Header"/>
    </w:pPr>
    <w:r w:rsidRPr="00334F6B">
      <w:rPr>
        <w:noProof/>
      </w:rPr>
      <w:drawing>
        <wp:anchor distT="0" distB="0" distL="114300" distR="114300" simplePos="0" relativeHeight="251658752" behindDoc="0" locked="1" layoutInCell="1" allowOverlap="1" wp14:anchorId="0B19B009" wp14:editId="73830848">
          <wp:simplePos x="0" y="0"/>
          <wp:positionH relativeFrom="page">
            <wp:posOffset>360045</wp:posOffset>
          </wp:positionH>
          <wp:positionV relativeFrom="page">
            <wp:posOffset>360045</wp:posOffset>
          </wp:positionV>
          <wp:extent cx="2340000" cy="10116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0000" cy="101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F6B">
      <w:rPr>
        <w:noProof/>
      </w:rPr>
      <w:drawing>
        <wp:anchor distT="0" distB="0" distL="114300" distR="114300" simplePos="0" relativeHeight="251659776" behindDoc="0" locked="1" layoutInCell="1" allowOverlap="1" wp14:anchorId="04E1A925" wp14:editId="6022B500">
          <wp:simplePos x="0" y="0"/>
          <wp:positionH relativeFrom="page">
            <wp:posOffset>4500880</wp:posOffset>
          </wp:positionH>
          <wp:positionV relativeFrom="page">
            <wp:posOffset>540385</wp:posOffset>
          </wp:positionV>
          <wp:extent cx="1645200" cy="576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52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5680" behindDoc="0" locked="1" layoutInCell="1" allowOverlap="1" wp14:anchorId="2E86A28F" wp14:editId="6AF1AA74">
              <wp:simplePos x="0" y="0"/>
              <wp:positionH relativeFrom="page">
                <wp:posOffset>0</wp:posOffset>
              </wp:positionH>
              <wp:positionV relativeFrom="page">
                <wp:posOffset>82550</wp:posOffset>
              </wp:positionV>
              <wp:extent cx="7560000" cy="0"/>
              <wp:effectExtent l="0" t="76200" r="60325" b="95250"/>
              <wp:wrapNone/>
              <wp:docPr id="21" name="Straight Connector 21"/>
              <wp:cNvGraphicFramePr/>
              <a:graphic xmlns:a="http://schemas.openxmlformats.org/drawingml/2006/main">
                <a:graphicData uri="http://schemas.microsoft.com/office/word/2010/wordprocessingShape">
                  <wps:wsp>
                    <wps:cNvCnPr/>
                    <wps:spPr>
                      <a:xfrm>
                        <a:off x="0" y="0"/>
                        <a:ext cx="7560000" cy="0"/>
                      </a:xfrm>
                      <a:prstGeom prst="line">
                        <a:avLst/>
                      </a:prstGeom>
                      <a:ln w="165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B8063" id="Straight Connector 21" o:spid="_x0000_s1026" style="position:absolute;z-index:251655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5pt" to="59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" strokecolor="#b455a0 [3204]" strokeweight="1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B70"/>
    <w:multiLevelType w:val="hybridMultilevel"/>
    <w:tmpl w:val="BBBCB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F1C74"/>
    <w:multiLevelType w:val="hybridMultilevel"/>
    <w:tmpl w:val="72B64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17E4F"/>
    <w:multiLevelType w:val="hybridMultilevel"/>
    <w:tmpl w:val="E2961842"/>
    <w:lvl w:ilvl="0" w:tplc="01E652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E2B41"/>
    <w:multiLevelType w:val="hybridMultilevel"/>
    <w:tmpl w:val="9B6CEDF2"/>
    <w:lvl w:ilvl="0" w:tplc="DF7C4CF8">
      <w:start w:val="1"/>
      <w:numFmt w:val="bullet"/>
      <w:pStyle w:val="textbullet3cm"/>
      <w:lvlText w:val=""/>
      <w:lvlJc w:val="left"/>
      <w:pPr>
        <w:ind w:left="1857" w:hanging="360"/>
      </w:pPr>
      <w:rPr>
        <w:rFonts w:ascii="Symbol" w:hAnsi="Symbol" w:hint="default"/>
      </w:rPr>
    </w:lvl>
    <w:lvl w:ilvl="1" w:tplc="0C090003" w:tentative="1">
      <w:start w:val="1"/>
      <w:numFmt w:val="bullet"/>
      <w:lvlText w:val="o"/>
      <w:lvlJc w:val="left"/>
      <w:pPr>
        <w:ind w:left="2577" w:hanging="360"/>
      </w:pPr>
      <w:rPr>
        <w:rFonts w:ascii="Courier New" w:hAnsi="Courier New" w:cs="Courier New" w:hint="default"/>
      </w:rPr>
    </w:lvl>
    <w:lvl w:ilvl="2" w:tplc="0C090005" w:tentative="1">
      <w:start w:val="1"/>
      <w:numFmt w:val="bullet"/>
      <w:lvlText w:val=""/>
      <w:lvlJc w:val="left"/>
      <w:pPr>
        <w:ind w:left="3297" w:hanging="360"/>
      </w:pPr>
      <w:rPr>
        <w:rFonts w:ascii="Wingdings" w:hAnsi="Wingdings" w:hint="default"/>
      </w:rPr>
    </w:lvl>
    <w:lvl w:ilvl="3" w:tplc="0C090001" w:tentative="1">
      <w:start w:val="1"/>
      <w:numFmt w:val="bullet"/>
      <w:lvlText w:val=""/>
      <w:lvlJc w:val="left"/>
      <w:pPr>
        <w:ind w:left="4017" w:hanging="360"/>
      </w:pPr>
      <w:rPr>
        <w:rFonts w:ascii="Symbol" w:hAnsi="Symbol" w:hint="default"/>
      </w:rPr>
    </w:lvl>
    <w:lvl w:ilvl="4" w:tplc="0C090003" w:tentative="1">
      <w:start w:val="1"/>
      <w:numFmt w:val="bullet"/>
      <w:lvlText w:val="o"/>
      <w:lvlJc w:val="left"/>
      <w:pPr>
        <w:ind w:left="4737" w:hanging="360"/>
      </w:pPr>
      <w:rPr>
        <w:rFonts w:ascii="Courier New" w:hAnsi="Courier New" w:cs="Courier New" w:hint="default"/>
      </w:rPr>
    </w:lvl>
    <w:lvl w:ilvl="5" w:tplc="0C090005" w:tentative="1">
      <w:start w:val="1"/>
      <w:numFmt w:val="bullet"/>
      <w:lvlText w:val=""/>
      <w:lvlJc w:val="left"/>
      <w:pPr>
        <w:ind w:left="5457" w:hanging="360"/>
      </w:pPr>
      <w:rPr>
        <w:rFonts w:ascii="Wingdings" w:hAnsi="Wingdings" w:hint="default"/>
      </w:rPr>
    </w:lvl>
    <w:lvl w:ilvl="6" w:tplc="0C090001" w:tentative="1">
      <w:start w:val="1"/>
      <w:numFmt w:val="bullet"/>
      <w:lvlText w:val=""/>
      <w:lvlJc w:val="left"/>
      <w:pPr>
        <w:ind w:left="6177" w:hanging="360"/>
      </w:pPr>
      <w:rPr>
        <w:rFonts w:ascii="Symbol" w:hAnsi="Symbol" w:hint="default"/>
      </w:rPr>
    </w:lvl>
    <w:lvl w:ilvl="7" w:tplc="0C090003" w:tentative="1">
      <w:start w:val="1"/>
      <w:numFmt w:val="bullet"/>
      <w:lvlText w:val="o"/>
      <w:lvlJc w:val="left"/>
      <w:pPr>
        <w:ind w:left="6897" w:hanging="360"/>
      </w:pPr>
      <w:rPr>
        <w:rFonts w:ascii="Courier New" w:hAnsi="Courier New" w:cs="Courier New" w:hint="default"/>
      </w:rPr>
    </w:lvl>
    <w:lvl w:ilvl="8" w:tplc="0C090005" w:tentative="1">
      <w:start w:val="1"/>
      <w:numFmt w:val="bullet"/>
      <w:lvlText w:val=""/>
      <w:lvlJc w:val="left"/>
      <w:pPr>
        <w:ind w:left="7617" w:hanging="360"/>
      </w:pPr>
      <w:rPr>
        <w:rFonts w:ascii="Wingdings" w:hAnsi="Wingdings" w:hint="default"/>
      </w:rPr>
    </w:lvl>
  </w:abstractNum>
  <w:abstractNum w:abstractNumId="4" w15:restartNumberingAfterBreak="0">
    <w:nsid w:val="1A457E84"/>
    <w:multiLevelType w:val="hybridMultilevel"/>
    <w:tmpl w:val="1D9AFD60"/>
    <w:lvl w:ilvl="0" w:tplc="F418C770">
      <w:start w:val="1"/>
      <w:numFmt w:val="bullet"/>
      <w:pStyle w:val="text-para10p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3A2192"/>
    <w:multiLevelType w:val="hybridMultilevel"/>
    <w:tmpl w:val="1E9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BF2521"/>
    <w:multiLevelType w:val="hybridMultilevel"/>
    <w:tmpl w:val="F5B0F1DE"/>
    <w:lvl w:ilvl="0" w:tplc="548618C6">
      <w:start w:val="1"/>
      <w:numFmt w:val="bullet"/>
      <w:pStyle w:val="bulletpoi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907F93"/>
    <w:multiLevelType w:val="hybridMultilevel"/>
    <w:tmpl w:val="21647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B52515"/>
    <w:multiLevelType w:val="hybridMultilevel"/>
    <w:tmpl w:val="8A9CF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A362AE"/>
    <w:multiLevelType w:val="hybridMultilevel"/>
    <w:tmpl w:val="985C9DE0"/>
    <w:lvl w:ilvl="0" w:tplc="1EBEE88C">
      <w:start w:val="1"/>
      <w:numFmt w:val="bullet"/>
      <w:pStyle w:val="bulletpurple"/>
      <w:lvlText w:val=""/>
      <w:lvlJc w:val="left"/>
      <w:pPr>
        <w:ind w:left="360" w:hanging="360"/>
      </w:pPr>
      <w:rPr>
        <w:rFonts w:ascii="Symbol" w:hAnsi="Symbol" w:hint="default"/>
        <w:color w:val="B455A0"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1635815"/>
    <w:multiLevelType w:val="hybridMultilevel"/>
    <w:tmpl w:val="9A8ECC30"/>
    <w:lvl w:ilvl="0" w:tplc="09D6A3A0">
      <w:start w:val="1"/>
      <w:numFmt w:val="bullet"/>
      <w:lvlText w:val=""/>
      <w:lvlJc w:val="left"/>
      <w:rPr>
        <w:rFonts w:ascii="Symbol" w:hAnsi="Symbol" w:hint="default"/>
        <w:color w:val="B455A0"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F234FF"/>
    <w:multiLevelType w:val="hybridMultilevel"/>
    <w:tmpl w:val="9326AE92"/>
    <w:lvl w:ilvl="0" w:tplc="0C090001">
      <w:start w:val="1"/>
      <w:numFmt w:val="bullet"/>
      <w:lvlText w:val=""/>
      <w:lvlJc w:val="left"/>
      <w:rPr>
        <w:rFonts w:ascii="Symbol" w:hAnsi="Symbol" w:hint="default"/>
        <w:color w:val="B455A0" w:themeColor="accen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EBE0D4A"/>
    <w:multiLevelType w:val="hybridMultilevel"/>
    <w:tmpl w:val="EB7238AC"/>
    <w:lvl w:ilvl="0" w:tplc="5CBC2118">
      <w:start w:val="1"/>
      <w:numFmt w:val="bullet"/>
      <w:lvlText w:val=""/>
      <w:lvlJc w:val="left"/>
      <w:pPr>
        <w:ind w:left="720" w:hanging="360"/>
      </w:pPr>
      <w:rPr>
        <w:rFonts w:ascii="Symbol" w:hAnsi="Symbol" w:hint="default"/>
        <w:color w:val="00C0F3"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ED292A"/>
    <w:multiLevelType w:val="hybridMultilevel"/>
    <w:tmpl w:val="D8E21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1"/>
  </w:num>
  <w:num w:numId="5">
    <w:abstractNumId w:val="5"/>
  </w:num>
  <w:num w:numId="6">
    <w:abstractNumId w:val="0"/>
  </w:num>
  <w:num w:numId="7">
    <w:abstractNumId w:val="13"/>
  </w:num>
  <w:num w:numId="8">
    <w:abstractNumId w:val="7"/>
  </w:num>
  <w:num w:numId="9">
    <w:abstractNumId w:val="10"/>
  </w:num>
  <w:num w:numId="10">
    <w:abstractNumId w:val="8"/>
  </w:num>
  <w:num w:numId="11">
    <w:abstractNumId w:val="2"/>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F8"/>
    <w:rsid w:val="00060861"/>
    <w:rsid w:val="00070F8C"/>
    <w:rsid w:val="00086AE1"/>
    <w:rsid w:val="000F45A8"/>
    <w:rsid w:val="001155B1"/>
    <w:rsid w:val="00121437"/>
    <w:rsid w:val="001640E7"/>
    <w:rsid w:val="001968E1"/>
    <w:rsid w:val="001B5C09"/>
    <w:rsid w:val="00224274"/>
    <w:rsid w:val="002358FB"/>
    <w:rsid w:val="00262FD6"/>
    <w:rsid w:val="002830CF"/>
    <w:rsid w:val="002919A1"/>
    <w:rsid w:val="002D1A4D"/>
    <w:rsid w:val="002E0851"/>
    <w:rsid w:val="002F7878"/>
    <w:rsid w:val="00336E3D"/>
    <w:rsid w:val="00337BE6"/>
    <w:rsid w:val="003677AD"/>
    <w:rsid w:val="003837B5"/>
    <w:rsid w:val="00391EB0"/>
    <w:rsid w:val="003A66E2"/>
    <w:rsid w:val="00427656"/>
    <w:rsid w:val="004734AD"/>
    <w:rsid w:val="0049615A"/>
    <w:rsid w:val="004E3AD0"/>
    <w:rsid w:val="004E4F7F"/>
    <w:rsid w:val="00500F09"/>
    <w:rsid w:val="005229E7"/>
    <w:rsid w:val="00582928"/>
    <w:rsid w:val="005907ED"/>
    <w:rsid w:val="00591ABF"/>
    <w:rsid w:val="005D0FA6"/>
    <w:rsid w:val="005D5088"/>
    <w:rsid w:val="005F7114"/>
    <w:rsid w:val="00636FEE"/>
    <w:rsid w:val="0065635C"/>
    <w:rsid w:val="00666BB8"/>
    <w:rsid w:val="006A7729"/>
    <w:rsid w:val="00717305"/>
    <w:rsid w:val="007647AD"/>
    <w:rsid w:val="00767BF8"/>
    <w:rsid w:val="00795C91"/>
    <w:rsid w:val="007C0997"/>
    <w:rsid w:val="007E562E"/>
    <w:rsid w:val="00810A56"/>
    <w:rsid w:val="008B2982"/>
    <w:rsid w:val="009071E5"/>
    <w:rsid w:val="009329CA"/>
    <w:rsid w:val="009441FF"/>
    <w:rsid w:val="00964E6E"/>
    <w:rsid w:val="009710A6"/>
    <w:rsid w:val="00973679"/>
    <w:rsid w:val="009D13BB"/>
    <w:rsid w:val="00A4229B"/>
    <w:rsid w:val="00A422ED"/>
    <w:rsid w:val="00AC2302"/>
    <w:rsid w:val="00AD5653"/>
    <w:rsid w:val="00AE0A87"/>
    <w:rsid w:val="00B26C79"/>
    <w:rsid w:val="00B3632A"/>
    <w:rsid w:val="00B81248"/>
    <w:rsid w:val="00BB6EC1"/>
    <w:rsid w:val="00BF2B54"/>
    <w:rsid w:val="00C04720"/>
    <w:rsid w:val="00C14AC4"/>
    <w:rsid w:val="00C4086F"/>
    <w:rsid w:val="00CD2F87"/>
    <w:rsid w:val="00CE0E36"/>
    <w:rsid w:val="00CF1DD6"/>
    <w:rsid w:val="00CF7C1A"/>
    <w:rsid w:val="00D16AD1"/>
    <w:rsid w:val="00D76487"/>
    <w:rsid w:val="00DA35FF"/>
    <w:rsid w:val="00DE31CB"/>
    <w:rsid w:val="00E52C1C"/>
    <w:rsid w:val="00E904E3"/>
    <w:rsid w:val="00EB0355"/>
    <w:rsid w:val="00EF40F4"/>
    <w:rsid w:val="00F828B5"/>
    <w:rsid w:val="00FA3A4B"/>
    <w:rsid w:val="00FA5A20"/>
    <w:rsid w:val="00FC6CA3"/>
    <w:rsid w:val="00FE2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46179"/>
  <w15:chartTrackingRefBased/>
  <w15:docId w15:val="{6D877072-2E1B-4E77-B158-6046A815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14"/>
    <w:rPr>
      <w:rFonts w:ascii="Proxima Nova Rg" w:hAnsi="Proxima Nova Rg"/>
      <w:color w:val="1D1752"/>
    </w:rPr>
  </w:style>
  <w:style w:type="paragraph" w:styleId="Heading1">
    <w:name w:val="heading 1"/>
    <w:basedOn w:val="Normal"/>
    <w:next w:val="Normal"/>
    <w:link w:val="Heading1Char"/>
    <w:uiPriority w:val="9"/>
    <w:qFormat/>
    <w:rsid w:val="005F7114"/>
    <w:pPr>
      <w:tabs>
        <w:tab w:val="left" w:pos="2486"/>
      </w:tabs>
      <w:spacing w:before="1400"/>
      <w:outlineLvl w:val="0"/>
    </w:pPr>
    <w:rPr>
      <w:rFonts w:ascii="Museo 500" w:hAnsi="Museo 500"/>
      <w:sz w:val="60"/>
      <w:szCs w:val="60"/>
    </w:rPr>
  </w:style>
  <w:style w:type="paragraph" w:styleId="Heading2">
    <w:name w:val="heading 2"/>
    <w:basedOn w:val="Normal"/>
    <w:next w:val="Normal"/>
    <w:link w:val="Heading2Char"/>
    <w:uiPriority w:val="9"/>
    <w:unhideWhenUsed/>
    <w:qFormat/>
    <w:rsid w:val="005F7114"/>
    <w:pPr>
      <w:outlineLvl w:val="1"/>
    </w:pPr>
    <w:rPr>
      <w:rFonts w:ascii="Museo 500" w:hAnsi="Museo 500"/>
      <w:sz w:val="40"/>
      <w:szCs w:val="40"/>
    </w:rPr>
  </w:style>
  <w:style w:type="character" w:default="1" w:styleId="DefaultParagraphFont">
    <w:name w:val="Default Paragraph Font"/>
    <w:uiPriority w:val="1"/>
    <w:unhideWhenUsed/>
    <w:rsid w:val="005F71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7114"/>
  </w:style>
  <w:style w:type="character" w:customStyle="1" w:styleId="Heading1Char">
    <w:name w:val="Heading 1 Char"/>
    <w:basedOn w:val="DefaultParagraphFont"/>
    <w:link w:val="Heading1"/>
    <w:uiPriority w:val="9"/>
    <w:rsid w:val="005F7114"/>
    <w:rPr>
      <w:rFonts w:ascii="Museo 500" w:hAnsi="Museo 500"/>
      <w:color w:val="1D1752"/>
      <w:sz w:val="60"/>
      <w:szCs w:val="60"/>
    </w:rPr>
  </w:style>
  <w:style w:type="paragraph" w:styleId="Header">
    <w:name w:val="header"/>
    <w:basedOn w:val="Normal"/>
    <w:link w:val="HeaderChar"/>
    <w:uiPriority w:val="99"/>
    <w:unhideWhenUsed/>
    <w:rsid w:val="005F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114"/>
    <w:rPr>
      <w:rFonts w:ascii="Proxima Nova Rg" w:hAnsi="Proxima Nova Rg"/>
      <w:color w:val="1D1752"/>
    </w:rPr>
  </w:style>
  <w:style w:type="paragraph" w:styleId="Footer">
    <w:name w:val="footer"/>
    <w:basedOn w:val="Normal"/>
    <w:link w:val="FooterChar"/>
    <w:uiPriority w:val="99"/>
    <w:unhideWhenUsed/>
    <w:rsid w:val="005F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114"/>
    <w:rPr>
      <w:rFonts w:ascii="Proxima Nova Rg" w:hAnsi="Proxima Nova Rg"/>
      <w:color w:val="1D1752"/>
    </w:rPr>
  </w:style>
  <w:style w:type="paragraph" w:customStyle="1" w:styleId="subheadingblue">
    <w:name w:val="subheading blue"/>
    <w:basedOn w:val="Normal"/>
    <w:qFormat/>
    <w:rsid w:val="005F7114"/>
    <w:rPr>
      <w:rFonts w:ascii="Museo 500" w:hAnsi="Museo 500"/>
      <w:color w:val="1D1752" w:themeColor="text2"/>
      <w:sz w:val="28"/>
      <w:szCs w:val="28"/>
    </w:rPr>
  </w:style>
  <w:style w:type="paragraph" w:customStyle="1" w:styleId="copyrightfooter">
    <w:name w:val="copyright footer"/>
    <w:basedOn w:val="Normal"/>
    <w:qFormat/>
    <w:rsid w:val="005F7114"/>
    <w:pPr>
      <w:spacing w:after="0" w:line="240" w:lineRule="auto"/>
      <w:jc w:val="right"/>
    </w:pPr>
    <w:rPr>
      <w:i/>
      <w:sz w:val="16"/>
      <w:szCs w:val="16"/>
    </w:rPr>
  </w:style>
  <w:style w:type="paragraph" w:customStyle="1" w:styleId="bulletpurple">
    <w:name w:val="bullet purple"/>
    <w:qFormat/>
    <w:rsid w:val="005F7114"/>
    <w:pPr>
      <w:numPr>
        <w:numId w:val="1"/>
      </w:numPr>
      <w:ind w:left="284" w:hanging="284"/>
      <w:contextualSpacing/>
    </w:pPr>
    <w:rPr>
      <w:rFonts w:ascii="Proxima Nova Rg" w:hAnsi="Proxima Nova Rg"/>
      <w:color w:val="1D1752" w:themeColor="text2"/>
    </w:rPr>
  </w:style>
  <w:style w:type="table" w:styleId="TableGrid">
    <w:name w:val="Table Grid"/>
    <w:basedOn w:val="TableNormal"/>
    <w:uiPriority w:val="39"/>
    <w:rsid w:val="0076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ara">
    <w:name w:val="text - para"/>
    <w:basedOn w:val="Normal"/>
    <w:qFormat/>
    <w:rsid w:val="00767BF8"/>
    <w:rPr>
      <w:color w:val="1D1752" w:themeColor="text2"/>
    </w:rPr>
  </w:style>
  <w:style w:type="character" w:styleId="Hyperlink">
    <w:name w:val="Hyperlink"/>
    <w:basedOn w:val="DefaultParagraphFont"/>
    <w:uiPriority w:val="99"/>
    <w:unhideWhenUsed/>
    <w:rsid w:val="00767BF8"/>
    <w:rPr>
      <w:color w:val="0000FF"/>
      <w:u w:val="single"/>
    </w:rPr>
  </w:style>
  <w:style w:type="paragraph" w:customStyle="1" w:styleId="text-para10pt">
    <w:name w:val="text - para 10pt"/>
    <w:basedOn w:val="text-para"/>
    <w:qFormat/>
    <w:rsid w:val="00767BF8"/>
    <w:pPr>
      <w:spacing w:after="80" w:line="240" w:lineRule="auto"/>
    </w:pPr>
    <w:rPr>
      <w:sz w:val="20"/>
      <w:szCs w:val="20"/>
    </w:rPr>
  </w:style>
  <w:style w:type="paragraph" w:customStyle="1" w:styleId="text-para10ptbullet">
    <w:name w:val="text - para 10pt bullet"/>
    <w:basedOn w:val="text-para"/>
    <w:qFormat/>
    <w:rsid w:val="00767BF8"/>
    <w:pPr>
      <w:numPr>
        <w:numId w:val="2"/>
      </w:numPr>
      <w:spacing w:after="0" w:line="240" w:lineRule="auto"/>
      <w:ind w:left="227" w:hanging="227"/>
    </w:pPr>
    <w:rPr>
      <w:sz w:val="20"/>
    </w:rPr>
  </w:style>
  <w:style w:type="character" w:styleId="UnresolvedMention">
    <w:name w:val="Unresolved Mention"/>
    <w:basedOn w:val="DefaultParagraphFont"/>
    <w:uiPriority w:val="99"/>
    <w:semiHidden/>
    <w:unhideWhenUsed/>
    <w:rsid w:val="00CE0E36"/>
    <w:rPr>
      <w:color w:val="605E5C"/>
      <w:shd w:val="clear" w:color="auto" w:fill="E1DFDD"/>
    </w:rPr>
  </w:style>
  <w:style w:type="paragraph" w:styleId="Revision">
    <w:name w:val="Revision"/>
    <w:hidden/>
    <w:uiPriority w:val="99"/>
    <w:semiHidden/>
    <w:rsid w:val="00EF40F4"/>
    <w:pPr>
      <w:spacing w:after="0" w:line="240" w:lineRule="auto"/>
    </w:pPr>
    <w:rPr>
      <w:rFonts w:ascii="Proxima Nova Rg" w:hAnsi="Proxima Nova Rg"/>
      <w:color w:val="1D1752"/>
    </w:rPr>
  </w:style>
  <w:style w:type="character" w:styleId="CommentReference">
    <w:name w:val="annotation reference"/>
    <w:basedOn w:val="DefaultParagraphFont"/>
    <w:uiPriority w:val="99"/>
    <w:semiHidden/>
    <w:unhideWhenUsed/>
    <w:rsid w:val="001968E1"/>
    <w:rPr>
      <w:sz w:val="16"/>
      <w:szCs w:val="16"/>
    </w:rPr>
  </w:style>
  <w:style w:type="paragraph" w:styleId="CommentText">
    <w:name w:val="annotation text"/>
    <w:basedOn w:val="Normal"/>
    <w:link w:val="CommentTextChar"/>
    <w:uiPriority w:val="99"/>
    <w:semiHidden/>
    <w:unhideWhenUsed/>
    <w:rsid w:val="001968E1"/>
    <w:pPr>
      <w:spacing w:line="240" w:lineRule="auto"/>
    </w:pPr>
    <w:rPr>
      <w:sz w:val="20"/>
      <w:szCs w:val="20"/>
    </w:rPr>
  </w:style>
  <w:style w:type="character" w:customStyle="1" w:styleId="CommentTextChar">
    <w:name w:val="Comment Text Char"/>
    <w:basedOn w:val="DefaultParagraphFont"/>
    <w:link w:val="CommentText"/>
    <w:uiPriority w:val="99"/>
    <w:semiHidden/>
    <w:rsid w:val="001968E1"/>
    <w:rPr>
      <w:rFonts w:ascii="Proxima Nova Rg" w:hAnsi="Proxima Nova Rg"/>
      <w:color w:val="1D1752"/>
      <w:sz w:val="20"/>
      <w:szCs w:val="20"/>
    </w:rPr>
  </w:style>
  <w:style w:type="paragraph" w:styleId="CommentSubject">
    <w:name w:val="annotation subject"/>
    <w:basedOn w:val="CommentText"/>
    <w:next w:val="CommentText"/>
    <w:link w:val="CommentSubjectChar"/>
    <w:uiPriority w:val="99"/>
    <w:semiHidden/>
    <w:unhideWhenUsed/>
    <w:rsid w:val="001968E1"/>
    <w:rPr>
      <w:b/>
      <w:bCs/>
    </w:rPr>
  </w:style>
  <w:style w:type="character" w:customStyle="1" w:styleId="CommentSubjectChar">
    <w:name w:val="Comment Subject Char"/>
    <w:basedOn w:val="CommentTextChar"/>
    <w:link w:val="CommentSubject"/>
    <w:uiPriority w:val="99"/>
    <w:semiHidden/>
    <w:rsid w:val="001968E1"/>
    <w:rPr>
      <w:rFonts w:ascii="Proxima Nova Rg" w:hAnsi="Proxima Nova Rg"/>
      <w:b/>
      <w:bCs/>
      <w:color w:val="1D1752"/>
      <w:sz w:val="20"/>
      <w:szCs w:val="20"/>
    </w:rPr>
  </w:style>
  <w:style w:type="character" w:customStyle="1" w:styleId="Heading2Char">
    <w:name w:val="Heading 2 Char"/>
    <w:basedOn w:val="DefaultParagraphFont"/>
    <w:link w:val="Heading2"/>
    <w:uiPriority w:val="9"/>
    <w:rsid w:val="005F7114"/>
    <w:rPr>
      <w:rFonts w:ascii="Museo 500" w:hAnsi="Museo 500"/>
      <w:color w:val="1D1752"/>
      <w:sz w:val="40"/>
      <w:szCs w:val="40"/>
    </w:rPr>
  </w:style>
  <w:style w:type="paragraph" w:styleId="BalloonText">
    <w:name w:val="Balloon Text"/>
    <w:basedOn w:val="Normal"/>
    <w:link w:val="BalloonTextChar"/>
    <w:uiPriority w:val="99"/>
    <w:semiHidden/>
    <w:unhideWhenUsed/>
    <w:rsid w:val="005F7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14"/>
    <w:rPr>
      <w:rFonts w:ascii="Segoe UI" w:hAnsi="Segoe UI" w:cs="Segoe UI"/>
      <w:color w:val="1D1752"/>
      <w:sz w:val="18"/>
      <w:szCs w:val="18"/>
    </w:rPr>
  </w:style>
  <w:style w:type="paragraph" w:customStyle="1" w:styleId="text-indentpara">
    <w:name w:val="text - indent para"/>
    <w:basedOn w:val="Normal"/>
    <w:qFormat/>
    <w:rsid w:val="005F7114"/>
    <w:pPr>
      <w:ind w:left="284"/>
    </w:pPr>
  </w:style>
  <w:style w:type="paragraph" w:customStyle="1" w:styleId="text14pt">
    <w:name w:val="text 14pt"/>
    <w:basedOn w:val="Normal"/>
    <w:qFormat/>
    <w:rsid w:val="005F7114"/>
    <w:pPr>
      <w:ind w:right="509"/>
    </w:pPr>
    <w:rPr>
      <w:noProof/>
      <w:sz w:val="28"/>
      <w:szCs w:val="28"/>
      <w:lang w:eastAsia="en-AU"/>
    </w:rPr>
  </w:style>
  <w:style w:type="paragraph" w:styleId="NoSpacing">
    <w:name w:val="No Spacing"/>
    <w:uiPriority w:val="1"/>
    <w:qFormat/>
    <w:rsid w:val="005F7114"/>
    <w:pPr>
      <w:spacing w:after="0" w:line="240" w:lineRule="auto"/>
    </w:pPr>
    <w:rPr>
      <w:rFonts w:ascii="Proxima Nova Rg" w:hAnsi="Proxima Nova Rg"/>
      <w:color w:val="1D1752"/>
    </w:rPr>
  </w:style>
  <w:style w:type="paragraph" w:customStyle="1" w:styleId="underlinepara">
    <w:name w:val="underline para"/>
    <w:basedOn w:val="Normal"/>
    <w:qFormat/>
    <w:rsid w:val="005F7114"/>
    <w:pPr>
      <w:tabs>
        <w:tab w:val="right" w:leader="underscore" w:pos="10466"/>
      </w:tabs>
      <w:spacing w:line="360" w:lineRule="auto"/>
    </w:pPr>
    <w:rPr>
      <w:color w:val="808080" w:themeColor="background1" w:themeShade="80"/>
    </w:rPr>
  </w:style>
  <w:style w:type="paragraph" w:customStyle="1" w:styleId="subheadingpurple">
    <w:name w:val="subheading purple"/>
    <w:qFormat/>
    <w:rsid w:val="005F7114"/>
    <w:pPr>
      <w:outlineLvl w:val="1"/>
    </w:pPr>
    <w:rPr>
      <w:rFonts w:ascii="Museo 500" w:hAnsi="Museo 500"/>
      <w:color w:val="B455A0" w:themeColor="accent1"/>
      <w:sz w:val="28"/>
      <w:szCs w:val="28"/>
    </w:rPr>
  </w:style>
  <w:style w:type="paragraph" w:customStyle="1" w:styleId="spacer">
    <w:name w:val="spacer"/>
    <w:qFormat/>
    <w:rsid w:val="005F7114"/>
    <w:pPr>
      <w:spacing w:after="0" w:line="240" w:lineRule="auto"/>
    </w:pPr>
    <w:rPr>
      <w:rFonts w:ascii="Proxima Nova Rg" w:hAnsi="Proxima Nova Rg"/>
      <w:color w:val="1D1752" w:themeColor="text2"/>
    </w:rPr>
  </w:style>
  <w:style w:type="paragraph" w:customStyle="1" w:styleId="bulletpoint">
    <w:name w:val="bullet point"/>
    <w:basedOn w:val="Normal"/>
    <w:qFormat/>
    <w:rsid w:val="005F7114"/>
    <w:pPr>
      <w:numPr>
        <w:numId w:val="13"/>
      </w:numPr>
      <w:ind w:left="284" w:hanging="284"/>
      <w:contextualSpacing/>
    </w:pPr>
    <w:rPr>
      <w:color w:val="1D1752" w:themeColor="text2"/>
    </w:rPr>
  </w:style>
  <w:style w:type="paragraph" w:customStyle="1" w:styleId="underlline1COL">
    <w:name w:val="underlline 1COL"/>
    <w:basedOn w:val="Normal"/>
    <w:qFormat/>
    <w:rsid w:val="005F7114"/>
    <w:pPr>
      <w:tabs>
        <w:tab w:val="left" w:pos="1134"/>
        <w:tab w:val="right" w:leader="underscore" w:pos="4805"/>
      </w:tabs>
      <w:ind w:left="1304" w:hanging="1304"/>
    </w:pPr>
    <w:rPr>
      <w:color w:val="A5A2BA"/>
    </w:rPr>
  </w:style>
  <w:style w:type="paragraph" w:customStyle="1" w:styleId="texttab2cm">
    <w:name w:val="text tab 2cm"/>
    <w:basedOn w:val="Normal"/>
    <w:qFormat/>
    <w:rsid w:val="005F7114"/>
    <w:pPr>
      <w:tabs>
        <w:tab w:val="left" w:pos="1134"/>
      </w:tabs>
      <w:spacing w:after="360"/>
      <w:ind w:left="1134" w:hanging="1134"/>
    </w:pPr>
  </w:style>
  <w:style w:type="paragraph" w:customStyle="1" w:styleId="textnospaceaftertab2cm">
    <w:name w:val="text no space after tab 2cm"/>
    <w:basedOn w:val="texttab2cm"/>
    <w:qFormat/>
    <w:rsid w:val="005F7114"/>
    <w:pPr>
      <w:tabs>
        <w:tab w:val="left" w:pos="1701"/>
      </w:tabs>
      <w:spacing w:after="0"/>
      <w:ind w:left="1304" w:hanging="1304"/>
    </w:pPr>
  </w:style>
  <w:style w:type="paragraph" w:customStyle="1" w:styleId="textbullet3cm">
    <w:name w:val="text bullet 3cm"/>
    <w:basedOn w:val="texttab2cm"/>
    <w:qFormat/>
    <w:rsid w:val="005F7114"/>
    <w:pPr>
      <w:numPr>
        <w:numId w:val="14"/>
      </w:numPr>
      <w:tabs>
        <w:tab w:val="clear" w:pos="1134"/>
      </w:tabs>
      <w:ind w:left="1985" w:hanging="227"/>
      <w:contextualSpacing/>
    </w:pPr>
  </w:style>
  <w:style w:type="paragraph" w:customStyle="1" w:styleId="texttab3cm">
    <w:name w:val="text tab 3cm"/>
    <w:basedOn w:val="Normal"/>
    <w:qFormat/>
    <w:rsid w:val="005F7114"/>
    <w:pPr>
      <w:tabs>
        <w:tab w:val="left" w:pos="1531"/>
      </w:tabs>
      <w:spacing w:after="360"/>
      <w:ind w:left="1701" w:hanging="1701"/>
    </w:pPr>
  </w:style>
  <w:style w:type="paragraph" w:customStyle="1" w:styleId="notesunderlinetab">
    <w:name w:val="notes underline tab"/>
    <w:basedOn w:val="Normal"/>
    <w:qFormat/>
    <w:rsid w:val="005F7114"/>
    <w:pPr>
      <w:tabs>
        <w:tab w:val="right" w:leader="underscore" w:pos="4805"/>
      </w:tabs>
    </w:pPr>
    <w:rPr>
      <w:color w:val="A5A2BA" w:themeColor="accent6"/>
    </w:rPr>
  </w:style>
  <w:style w:type="paragraph" w:customStyle="1" w:styleId="speechbubble">
    <w:name w:val="speech bubble"/>
    <w:basedOn w:val="Normal"/>
    <w:qFormat/>
    <w:rsid w:val="005F7114"/>
    <w:pPr>
      <w:spacing w:after="0" w:line="192" w:lineRule="auto"/>
      <w:jc w:val="center"/>
    </w:pPr>
    <w:rPr>
      <w:rFonts w:asciiTheme="majorHAnsi" w:hAnsiTheme="maj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yassist.gov.au/sites/studyassist/files/beyond_school_study-guide_interactive.pdf?v=1540767293" TargetMode="External"/><Relationship Id="rId18" Type="http://schemas.openxmlformats.org/officeDocument/2006/relationships/hyperlink" Target="https://www.mywayemployability.com.au/resource/undertaking-work-experience-and-internshi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dn.inclusioned.edu.au/cdn/ff/EUJ3V6wXkX2rVAcgRHfpY1e00PDhBWbLJ5a_hBv7URI/1641635187/public/media/MWE-1_Self-Discovery_Teacher-notes.pdf" TargetMode="External"/><Relationship Id="rId17" Type="http://schemas.openxmlformats.org/officeDocument/2006/relationships/hyperlink" Target="https://www.mywayemployability.com.au/resource/creating-job-applica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yfuture.edu.au/bullseyes" TargetMode="External"/><Relationship Id="rId20" Type="http://schemas.openxmlformats.org/officeDocument/2006/relationships/hyperlink" Target="https://www.mywayemployability.com.au/resource/giving-and-receiving-feedback-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wayemployability.com.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mywayemployability.com.au/resource/pathways-formal-study-and-training-after-schoo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ywayemployability.com.au/resource/rights-and-responsibilities-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wayemployability.com.au/resource/studying-university-and-tafe" TargetMode="Externa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OneDrive%20-%20Queensland%20University%20of%20Technology\20-22%20myWAY%20Educator\templates\TEM_CRC-JD_MWE-teacher-template_20200925.dotx" TargetMode="External"/></Relationships>
</file>

<file path=word/theme/theme1.xml><?xml version="1.0" encoding="utf-8"?>
<a:theme xmlns:a="http://schemas.openxmlformats.org/drawingml/2006/main" name="Office Theme">
  <a:themeElements>
    <a:clrScheme name="AutismCRC colours">
      <a:dk1>
        <a:srgbClr val="000000"/>
      </a:dk1>
      <a:lt1>
        <a:srgbClr val="FFFFFF"/>
      </a:lt1>
      <a:dk2>
        <a:srgbClr val="1D1752"/>
      </a:dk2>
      <a:lt2>
        <a:srgbClr val="E6E7E8"/>
      </a:lt2>
      <a:accent1>
        <a:srgbClr val="B455A0"/>
      </a:accent1>
      <a:accent2>
        <a:srgbClr val="00C0F3"/>
      </a:accent2>
      <a:accent3>
        <a:srgbClr val="ED1651"/>
      </a:accent3>
      <a:accent4>
        <a:srgbClr val="FFCB05"/>
      </a:accent4>
      <a:accent5>
        <a:srgbClr val="72BF44"/>
      </a:accent5>
      <a:accent6>
        <a:srgbClr val="A5A2BA"/>
      </a:accent6>
      <a:hlink>
        <a:srgbClr val="00C0F3"/>
      </a:hlink>
      <a:folHlink>
        <a:srgbClr val="B455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885BA7D2C54743A53232F2F51B31AE" ma:contentTypeVersion="13" ma:contentTypeDescription="Create a new document." ma:contentTypeScope="" ma:versionID="9c06bf961c76b20d8c0720d04eb986e4">
  <xsd:schema xmlns:xsd="http://www.w3.org/2001/XMLSchema" xmlns:xs="http://www.w3.org/2001/XMLSchema" xmlns:p="http://schemas.microsoft.com/office/2006/metadata/properties" xmlns:ns2="883a90c0-4459-4277-986c-3d7ce887ee9e" xmlns:ns3="0a3e1e66-4699-4592-b6b4-0c594e726dd1" targetNamespace="http://schemas.microsoft.com/office/2006/metadata/properties" ma:root="true" ma:fieldsID="8b9aa4bfc08fc60d73a108c352177906" ns2:_="" ns3:_="">
    <xsd:import namespace="883a90c0-4459-4277-986c-3d7ce887ee9e"/>
    <xsd:import namespace="0a3e1e66-4699-4592-b6b4-0c594e726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a90c0-4459-4277-986c-3d7ce887e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3e1e66-4699-4592-b6b4-0c594e726d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C32B9-57BA-4931-914A-C332D2D8D5F7}">
  <ds:schemaRefs>
    <ds:schemaRef ds:uri="http://schemas.openxmlformats.org/officeDocument/2006/bibliography"/>
  </ds:schemaRefs>
</ds:datastoreItem>
</file>

<file path=customXml/itemProps2.xml><?xml version="1.0" encoding="utf-8"?>
<ds:datastoreItem xmlns:ds="http://schemas.openxmlformats.org/officeDocument/2006/customXml" ds:itemID="{1216C579-F211-4BD4-9A00-5AD309E089DE}">
  <ds:schemaRefs>
    <ds:schemaRef ds:uri="http://schemas.microsoft.com/office/2006/metadata/properties"/>
    <ds:schemaRef ds:uri="http://schemas.microsoft.com/office/2006/documentManagement/types"/>
    <ds:schemaRef ds:uri="http://purl.org/dc/elements/1.1/"/>
    <ds:schemaRef ds:uri="883a90c0-4459-4277-986c-3d7ce887ee9e"/>
    <ds:schemaRef ds:uri="http://schemas.openxmlformats.org/package/2006/metadata/core-properties"/>
    <ds:schemaRef ds:uri="http://www.w3.org/XML/1998/namespace"/>
    <ds:schemaRef ds:uri="http://schemas.microsoft.com/office/infopath/2007/PartnerControls"/>
    <ds:schemaRef ds:uri="0a3e1e66-4699-4592-b6b4-0c594e726dd1"/>
    <ds:schemaRef ds:uri="http://purl.org/dc/dcmitype/"/>
    <ds:schemaRef ds:uri="http://purl.org/dc/terms/"/>
  </ds:schemaRefs>
</ds:datastoreItem>
</file>

<file path=customXml/itemProps3.xml><?xml version="1.0" encoding="utf-8"?>
<ds:datastoreItem xmlns:ds="http://schemas.openxmlformats.org/officeDocument/2006/customXml" ds:itemID="{CF62A817-65E6-4F8E-9938-E6D24B560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a90c0-4459-4277-986c-3d7ce887ee9e"/>
    <ds:schemaRef ds:uri="0a3e1e66-4699-4592-b6b4-0c594e726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F4A15-59BF-4895-89AE-7E0F7152A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TEM_CRC-JD_MWE-teacher-template_20200925</Template>
  <TotalTime>31</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Torres</dc:creator>
  <cp:keywords/>
  <dc:description/>
  <cp:lastModifiedBy>Jacqueline Dunne</cp:lastModifiedBy>
  <cp:revision>39</cp:revision>
  <dcterms:created xsi:type="dcterms:W3CDTF">2022-02-07T03:58:00Z</dcterms:created>
  <dcterms:modified xsi:type="dcterms:W3CDTF">2022-02-07T16:23:00Z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0x0101005A885BA7D2C54743A53232F2F51B31AE</vt:lpwstr>
  </property>
</Properties>
</file>